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南银理财鼎瑞悦稳（最低持有91天）3号公募人民币理财产品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南银理财鼎瑞悦稳（最低持有91天）3号公募人民币理财产品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Z7003224000262（投资者可依据该编码在中国理财网www.chinawealth.com.cn查询理财产品相关信息）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2024年11月07日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13,571,027,048.74份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中粮信托有限责任公司,华泰资产管理有限公司,国投泰康信托有限公司,紫金信托有限责任公司,华润深国投信托有限公司,陆家嘴国际信托有限公司,江苏省国际信托有限责任公司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A32068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13,037,008,100.67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1.034767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1.034767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A32069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705,795,325.05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1.034294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1.034294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A32076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299,910,587.56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1.035384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1.035384</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7月雅江水电站项目开工，市场开始围绕“反内卷”开展交易，通缩逻辑动摇，权益及商品市场大涨；债市则在缺乏新的驱动力量的情况下，受股债跷跷板的影响行情走弱；公募基金受“费率新规”的影响负债端出现脉冲式赎回。央行连续超额续作MLF及买断式逆回购，重启14天逆回购，持续呵护货币市场，资金利率维持平稳。债市曲线走陡，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来自于财政提前发力和抢出口的影响，但是需求端依然较为疲软，地产依然处于探底状态，政策对于地产的态度依然是托而不举，最新公布的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产品始终围绕稳健回报的收益目标进行操作，通过持有信用资质较好、绝对收益相对较高的江浙等发达省市信用债作为底仓，获取稳定可靠的票息收益；同时增加同业存单、存款等高流动性资产仓位保证流动性安全。基于对后市的判断，产品将灵活调整杠杆与久期，实现产品净值在合理区间内保持相对稳定；同时加强市场与品种研判，在控制好风险的前提下博取超额收益。</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产品投资运作稳健，资产结构保持较高的流动性水平，平稳度过市场各关键时点。下阶段，产品将继续维持合理的流动性资产比例，做好负债端现金流的跟踪与研判，适度拉长杠杆融资期限，控制产品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截至报告期末，本产品A32068份额净值为1.034767元，A32069份额净值为1.034294元，A32076份额净值为1.035384元。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95.48%</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93.58%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4.52%</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6.42%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ZJQTT202306010001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中粮信托-鼎兴2号集合资金信托计划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2,728,795,359.69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19.43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ZJQTT202311080001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1,563,168,507.58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11.13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ZJQTT202308160001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中粮信托鼎兴4号集合资金信托计划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953,724,659.97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6.79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XJCKX202504280001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华夏银行南京分行活期存款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752,823,418.50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5.36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ZJQTT202311080002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国投泰康信托福佳2号集合资金信托计划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571,607,869.38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ZJQTT202410090002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陆家嘴信托-陆享19号集合资金信托计划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558,221,506.59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3.98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ZJQTT202209050001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江苏信托鑫盈2号集合资金信托计划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374,371,024.41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ZJQTT202302130001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华润信托鑫瑞日盈1号集合资金信托计划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203,260,094.05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DQCKX202507140002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北京银行定期存款20250714B</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DQCKX202506030001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北京银行定期存款20250603</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1.42</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0101020000001272</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南京银行南京分行南银理财鼎瑞悦稳最低持有91天3号</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产品投资关联方作为管理人的资产管理产品交易金额595,000,000.00元。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产品支付关联方托管费692,122.21元，支付关联方代销费1,566,697.18元。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