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Z7003224000051（投资者可依据该编码在中国理财网www.chinawealth.com.cn查询理财产品相关信息）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2024年03月13日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504,213,397.00份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中粮信托有限责任公司,国投泰康信托有限公司,广东粤财信托有限公司,泰康资产管理有限责任公司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204,273,422.15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325,811,430.00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3,035,508.18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截至报告期末，本产品Y60063份额净值为1.0563元，Y61063份额净值为1.0579元，Y62063份额净值为1.0595元。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177,416,935.65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138,434,234.94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国投泰康信托远望150号集合资金信托计划（第1期）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112,360,323.04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104,118,407.82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淮安科教产业投资控股有限公司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淮安市清浦城市改造建设投资开发有限公司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国投泰康信托远望150号集合资金信托计划（第1期）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0101080000000934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产品支付关联方托管费0.00元，支付关联方代销费88,670.32元。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