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Z7003224000277（投资者可依据该编码在中国理财网www.chinawealth.com.cn查询理财产品相关信息）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1,410,266,646.00份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中信信托有限责任公司,五矿国际信托有限公司,国投泰康信托有限公司,百瑞信托有限责任公司,紫金信托有限责任公司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774,323,977.95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1.0208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303,541,358.01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362,603,254.86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截至报告期末，本产品Y30194份额净值为1.0208元，Y31194份额净值为1.0216元，Y32194份额净值为1.0224元。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658,321,823.27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216,382,075.15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213,882,912.34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XTDKX202412120004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百瑞恒益1632号集合资金信托计划（鹏南11号）（第1期）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144,945,117.80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百瑞恒益1604号集合资金信托计划（南瑞8号）第1期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110,081,659.60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百瑞恒益1602号集合资金信托计划（南瑞6号）第1期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90,066,812.40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中信信托·兴邦90号固定收益类信托计划第1期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10,011,502.80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0.70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东台市国有资产经营集团有限公司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百瑞恒益1604号集合资金信托计划（南瑞8号）第1期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盐城经开城建投资集团有限公司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百瑞恒益1602号集合资金信托计划（南瑞6号）第1期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盐城市城镇化建设投资集团有限公司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中信信托·兴邦90号固定收益类信托计划第1期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泰州市泰政港口投资有限公司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百瑞恒益1632号集合资金信托计划（鹏南11号）（第1期）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0101050000001299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产品投资关联方作为管理人的资产管理产品交易金额666,000,000.00元。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产品支付关联方托管费0.00元，支付关联方代销费316,077.50元。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