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南银理财珠联璧合鑫逸稳一年198期封闭式公募人民币理财产品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南银理财珠联璧合鑫逸稳一年198期封闭式公募人民币理财产品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Z7003224000293（投资者可依据该编码在中国理财网www.chinawealth.com.cn查询理财产品相关信息）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679,418,412.00份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中信信托有限责任公司,五矿国际信托有限公司,广东粤财信托有限公司,鑫元基金管理有限公司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Y30198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388,212,655.34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Y31198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164,515,510.89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Y32198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115,026,498.76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Y34198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25,850,928.91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截至报告期末，本产品Y30198份额净值为1.0203元，Y31198份额净值为1.0211元，Y32198份额净值为1.0219元，Y34198份额净值为1.0219元。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249,077,643.02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35.91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XTDKX202501220003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粤财信托瑞兴186号集合资金信托计划第1期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168,207,417.84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24.25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XTDKX202501230022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102,035,220.00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101,268,292.69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14.60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XTDKX202501160001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69,405,081.28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扬州江淮建设发展有限公司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粤财信托瑞兴186号集合资金信托计划第1期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0101000000001329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南银理财珠联璧合鑫逸稳一年198期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产品支付关联方托管费0.00元，支付关联方代销费152,883.04元。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