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Z7003224000017（投资者可依据该编码在中国理财网www.chinawealth.com.cn查询理财产品相关信息）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2024年01月24日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192,856,160.00份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中粮信托有限责任公司,国通信托有限责任公司,太平洋资产管理有限责任公司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142,936,222.06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55,159,741.04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6,922,096.18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1.0659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鑫逸稳两年期封闭式产品，今年三季度产品操作稳健偏防守。三季度债券市场走势震荡偏弱，利率债、信用债等波动幅度较二季度有所放大，虽然资金面整体仍维持宽松，隐形的资金下限未打破，反内卷引发走出通缩的交易预期、风险偏好的持续抬升也压制债券表现，各类品种收益率水平有不同程度上行。三季度产品运作过程中操作转向防守，阶段性降低了产品的杠杆及久期水平以更好的控制回撤。在上旬减持了部分性价比偏弱的个券降低仓位，调整过程中也通过置换部分持仓，提升组合静态。下一阶段，产品将继续围绕稳健回报的收益目标进行操作，审慎精选票息品种，久期根据对宏观基本面的判断灵活调整，及时做好市场走势的跟踪与研判，挖掘潜在投资机会。</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三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截至报告期末，本产品Y60057份额净值为1.0624元，Y61057份额净值为1.0642元，Y62057份额净值为1.0659元。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105,336,423.31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XTDKX202402020022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96,272,923.20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3,017,244.69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江苏恒瑞投资开发有限公司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国通信托·苏盈瑞投集合资金信托计划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0101010000000876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产品支付关联方托管费0.00元，支付关联方代销费56,341.47元。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