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南银理财珠联璧合鑫逸稳两年66期封闭式公募人民币理财产品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南银理财珠联璧合鑫逸稳两年66期封闭式公募人民币理财产品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Z7003224000064（投资者可依据该编码在中国理财网www.chinawealth.com.cn查询理财产品相关信息）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2024年04月03日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304,331,992.00份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中信信托有限责任公司,中粮信托有限责任公司,陆家嘴国际信托有限公司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Y60066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211,316,767.74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1.0530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1.0530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Y61066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101,314,145.57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1.0546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1.0546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Y62066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8,025,889.16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1.0561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1.0561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鑫逸稳两年期封闭式产品，今年三季度产品操作稳健偏防守。三季度债券市场走势震荡偏弱，利率债、信用债等波动幅度较二季度有所放大，虽然资金面整体仍维持宽松，隐形的资金下限未打破，反内卷引发走出通缩的交易预期、风险偏好的持续抬升也压制债券表现，各类品种收益率水平有不同程度上行。三季度产品运作过程中操作转向防守，阶段性降低了产品的杠杆及久期水平以更好的控制回撤。在上旬减持了部分性价比偏弱的个券降低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三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截至报告期末，本产品Y60066份额净值为1.0530元，Y61066份额净值为1.0546元，Y62066份额净值为1.0561元。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165,539,557.34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51.63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XTDKX202405140036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中信信托·兴邦69号固定收益类信托计划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92,081,056.50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28.72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XTDKX202404290059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中信信托·兴邦77号固定收益类信托计划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60,212,250.00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18.78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3,511,219.01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江苏姜堰经开集团有限公司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中信信托·兴邦77号固定收益类信托计划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江苏金姜城投资集团有限公司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中信信托·兴邦69号固定收益类信托计划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0101080000000953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南京银行南京分行南银理财鑫逸稳两年66期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产品支付关联方托管费0.00元，支付关联方代销费70,671.03元。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