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南银理财珠联璧合鑫逸稳两年70期封闭式公募人民币理财产品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南银理财珠联璧合鑫逸稳两年70期封闭式公募人民币理财产品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Z7003224000078（投资者可依据该编码在中国理财网www.chinawealth.com.cn查询理财产品相关信息）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2024年05月08日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314,392,060.00份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国投泰康信托有限公司,广东粤财信托有限公司,陆家嘴国际信托有限公司,重庆国际信托股份有限公司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225,100,562.30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77,901,511.63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1.0507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Y62070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27,071,132.31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1.0521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截至报告期末，本产品Y60070份额净值为1.0493元，Y61070份额净值为1.0507元，Y62070份额净值为1.0521元。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116,906,306.38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93,929,336.88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48,156,665.76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XTDKX202406170022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40,158,904.40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ZJQTT202506270001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陆家嘴信托-陆享20号集合资金信托计划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31,308,474.57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9.49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淮安市宏信国有资产投资管理有限公司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重庆信托·淮安宏信集合资金信托计划（第1期）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江苏扬中港务投资发展有限公司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粤财信托瑞兴136号集合资金信托计划第1期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0101070000000982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南京银行南京分行南银理财鑫逸稳两年70期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产品支付关联方托管费0.00元，支付关联方代销费64,055.55元。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