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南银理财珠联璧合鑫逸稳两年74期封闭式公募人民币理财产品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南银理财珠联璧合鑫逸稳两年74期封闭式公募人民币理财产品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Z7003224000104（投资者可依据该编码在中国理财网www.chinawealth.com.cn查询理财产品相关信息）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2024年06月05日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138,472,562.00份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陆家嘴国际信托有限公司,重庆国际信托股份有限公司,太平洋资产管理有限责任公司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Y60074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61,092,557.39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1.0443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1.0443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Y61074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78,999,305.15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1.0457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1.0457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Y62074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4,640,921.87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1.0470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1.0470</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鑫逸稳两年期封闭式产品，今年三季度产品操作稳健偏防守。三季度债券市场走势震荡偏弱，利率债、信用债等波动幅度较二季度有所放大，虽然资金面整体仍维持宽松，隐形的资金下限未打破，反内卷引发走出通缩的交易预期、风险偏好的持续抬升也压制债券表现，各类品种收益率水平有不同程度上行。三季度产品运作过程中操作转向防守，阶段性降低了产品的杠杆及久期水平以更好的控制回撤。在上旬减持了部分性价比偏弱的个券降低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三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截至报告期末，本产品Y60074份额净值为1.0443元，Y61074份额净值为1.0457元，Y62074份额净值为1.0470元。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ZJQTT202405170002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陆家嘴信托-陆享16号集合资金信托计划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74,198,288.60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51.27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XTDKX202406130023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重庆信托·盐城海兴集合资金信托计划第1期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69,282,877.23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47.87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ZJQTT202205310002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太平洋稳健宝货币市场产品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1,001,868.29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0.69</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盐城市海兴集团有限公司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重庆信托·盐城海兴集合资金信托计划第1期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0101060000001053</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南京银行南京分行南银理财鑫逸稳两年74期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产品支付关联方托管费0.00元，支付关联方代销费40,151.30元。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