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苏银理财恒源日申半年持有1号</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2025年四季度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苏银理财恒源日申半年持有1号</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2018年08月15日</w:t>
      </w:r>
      <w:r>
        <w:rPr>
          <w:rFonts w:ascii="楷体" w:eastAsia="楷体" w:hAnsi="楷体" w:cs="楷体" w:hint="eastAsia"/>
        </w:rPr>
        <w:t xml:space="preserve">成立，于</w:t>
      </w:r>
      <w:r>
        <w:rPr>
          <w:rFonts w:ascii="楷体" w:eastAsia="楷体" w:hAnsi="楷体" w:cs="楷体" w:hint="eastAsia"/>
          <w:spacing w:val="-7"/>
        </w:rPr>
        <w:t xml:space="preserve">2018年08月15日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苏银理财恒源日申半年持有1号</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Z7003121000198</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14,851,378,186.98</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17,084,299,936.95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31000188000310186</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17,893,856,524.31</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104.74%</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苏银理财恒源日申半年持有1号A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1.158831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1.158831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中债-新综合财富(1年以下)指数收益率*60%+中国人民银行公布的半年定期存款利率*40%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苏银理财恒源日申半年持有1号B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1.146511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1.146511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中债-新综合财富(1年以下)指数收益率*60%+中国人民银行公布的半年定期存款利率*40%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苏银理财恒源日申半年持有1号C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1.148670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1.148670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中债-新综合财富(1年以下)指数收益率*60%+中国人民银行公布的半年定期存款利率*40%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苏银理财恒源日申半年持有1号D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1.149569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1.149569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中债-新综合财富(1年以下)指数收益率*60%+中国人民银行公布的半年定期存款利率*40%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苏银理财恒源日申半年持有1号E</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1.152014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1.152014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中债-新综合财富(1年以下)指数收益率*60%+中国人民银行公布的半年定期存款利率*40%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苏银理财恒源日申半年持有1号F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1.143144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1.143144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中债-新综合财富(1年以下)指数收益率*60%+中国人民银行公布的半年定期存款利率*40%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苏银理财恒源日申半年持有1号G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1.150649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1.150649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中债-新综合财富(1年以下)指数收益率*60%+中国人民银行公布的半年定期存款利率*40%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苏银理财恒源日申半年持有1号H</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1.146445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1.146445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中债-新综合财富(1年以下)指数收益率*60%+中国人民银行公布的半年定期存款利率*40%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苏银理财恒源日申半年持有1号Q</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1.151426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1.151426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中债-新综合财富(1年以下)指数收益率*60%+中国人民银行公布的半年定期存款利率*40%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苏银理财恒源日申半年持有1号Z</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1.151942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1.151942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中债-新综合财富(1年以下)指数收益率*60%+中国人民银行公布的半年定期存款利率*40%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苏银理财恒源日申半年持有1号（代发专享）</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1.151010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1.151010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中债-新综合财富(1年以下)指数收益率*60%+中国人民银行公布的半年定期存款利率*40%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81.99%</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8.73%</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6.31%</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2.09%</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0.32%</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0.56%</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88.62%</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11.38%</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2,072,113,404.57</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11.51%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25交通银行CD100</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398,346,402.19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2.21%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25中信银行CD110</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298,769,684.38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1.66%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25建设银行CD245</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298,117,537.66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1.66%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24伟驰MTN001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216,223,079.59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1.20%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24徐州新盛MTN005</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205,545,769.86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1.14%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华安中证AAA科技创新公司债ETF</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公募基金</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200,360,000.00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1.11%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25工商银行CD144</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199,056,147.95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1.11%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25国开03</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198,888,605.48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1.10%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25农业银行CD150</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198,862,928.22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1.10%</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东吴证券股份有限公司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280688.SH</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25太仓03</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200,000.00</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东吴证券股份有限公司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244261.SH</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25苏金K2</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200,000.00</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东吴证券股份有限公司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280762.SH</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25丹投02</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500,000.00</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东吴证券股份有限公司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280751.SH</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25镇控Y2</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180,000.00</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18,000,000.00</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ZZGL202504091190</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江苏信托安源6号集合资金信托计划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151,572,688.00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170,000,000.00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ZZGL202504091188</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江苏信托安源4号集合资金信托计划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88,202,322.00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100,000,000.00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ZZGL202109150141</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江苏信托鼎泰3号集合资金信托计划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521,543,667.00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613,000,000.00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865,405,640.00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1,145,000,000.00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江苏镇江农村商业银行股份有限公司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10,637.03</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回购</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东吴证券股份有限公司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10,000,000.00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回购</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200,000,000.00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1,060,118.97</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二级交易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苏银理财有限责任公司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1,887,868,547.42</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3,876,109.16</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110,280,000.00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苏银理财恒源日申半年持有1号D</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57,826,663.70</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14,851,378,186.98</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19,879,182,787.27</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2025年四季度，我国经济运行总体平稳，结构优化升级特征明显。需求端呈现外强内稳格局，12月制造业PMI、非制造业商务活动指数及综合PMI产出指数均回升至扩张区间。债市方面，10年期国债收益率围绕1.8%中枢整理，季度内经历了政策预期博弈、赎回扰动及年末流动性修复的反复过程，整体呈现震荡行情。</w:t>
      </w:r>
      <w:r>
        <w:rPr>
          <w:rFonts w:ascii="楷体" w:eastAsia="楷体" w:hAnsi="楷体" w:cs="楷体" w:hint="eastAsia"/>
          <w:spacing w:val="8"/>
          <w:sz w:val="21"/>
        </w:rPr>
        <w:br/>
      </w:r>
      <w:r>
        <w:rPr>
          <w:rFonts w:ascii="楷体" w:eastAsia="楷体" w:hAnsi="楷体" w:cs="楷体" w:hint="eastAsia"/>
          <w:spacing w:val="8"/>
          <w:sz w:val="21"/>
        </w:rPr>
        <w:t xml:space="preserve">　　在本报告期内，本产品以固收类资产为主，重点配置了中短期限的优质信用债与存单资产，通过精选票息策略对抗市场波动。在久期管理方面，产品根据对利率走势的判断，灵活调整组合久期，以平衡收益弹性和利率风险。在信用风险控制方面，产品严格筛选持仓资产的发行主体与底层资产，主动规避了潜在风险较高的行业与企业。管理人通过合理的久期控制与资产分散化布局，争取投资者的体验相对稳健。同时，为了更准确地反应公允价值，本产品将交易所债券估值方法调整为中证估值，以更好地保护投资者权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展望2026年一季度，市场将迎来“十五五”规划开局与信贷“开门红”的双重影响。虽然经济复苏韧性及信贷节奏前置可能压制债市的趋势性下行空间，但当前绝对收益率水平仍具备较高的配置价值，配置和短线交易价值仍具有较好性价比。后续来看，信用配置仍是首选，债市波动之中，将通过精选票息资产增加信用债仓位占比至合意水平，长久期利率的参与会更加谨慎。</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管理人始终将流动性风险管理置于投资管理工作的核心位置。报告期内，产品从资产配置、风险监控和压力测试等多个维度，对产品的流动性风险进行了严格管控。本产品持仓资产以标准化债权类资产为主，变现能力较强，同时注重调优持仓结构，确保流动性处于合理水平。</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3477"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3479"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3480"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3482"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2026-01-21T10:33:20Z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