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_GBK" w:hAnsi="方正小标宋_GBK" w:eastAsia="方正小标宋_GBK" w:cs="方正小标宋_GBK"/>
          <w:b/>
          <w:bCs/>
          <w:spacing w:val="9"/>
          <w:sz w:val="44"/>
          <w:szCs w:val="44"/>
          <w:lang w:eastAsia="zh-CN"/>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8255</wp:posOffset>
                </wp:positionV>
                <wp:extent cx="2627630" cy="575310"/>
                <wp:effectExtent l="5080" t="4445" r="15240" b="10795"/>
                <wp:wrapNone/>
                <wp:docPr id="2" name="文本框 2"/>
                <wp:cNvGraphicFramePr/>
                <a:graphic xmlns:a="http://schemas.openxmlformats.org/drawingml/2006/main">
                  <a:graphicData uri="http://schemas.microsoft.com/office/word/2010/wordprocessingShape">
                    <wps:wsp>
                      <wps:cNvSpPr txBox="1"/>
                      <wps:spPr>
                        <a:xfrm>
                          <a:off x="0" y="0"/>
                          <a:ext cx="2627630" cy="575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江苏淮安农村商业银行股份有限公司</w:t>
                            </w:r>
                          </w:p>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第</w:t>
                            </w:r>
                            <w:r>
                              <w:rPr>
                                <w:rFonts w:hint="eastAsia" w:ascii="宋体" w:hAnsi="宋体" w:eastAsia="宋体" w:cs="宋体"/>
                                <w:b w:val="0"/>
                                <w:bCs w:val="0"/>
                                <w:sz w:val="21"/>
                                <w:szCs w:val="21"/>
                                <w:highlight w:val="none"/>
                                <w:lang w:val="en-US" w:eastAsia="zh-CN"/>
                              </w:rPr>
                              <w:t>五</w:t>
                            </w:r>
                            <w:r>
                              <w:rPr>
                                <w:rFonts w:hint="eastAsia" w:ascii="宋体" w:hAnsi="宋体" w:eastAsia="宋体" w:cs="宋体"/>
                                <w:b w:val="0"/>
                                <w:bCs w:val="0"/>
                                <w:sz w:val="21"/>
                                <w:szCs w:val="21"/>
                                <w:highlight w:val="none"/>
                              </w:rPr>
                              <w:t>届董事会第</w:t>
                            </w:r>
                            <w:r>
                              <w:rPr>
                                <w:rFonts w:hint="eastAsia" w:ascii="宋体" w:hAnsi="宋体" w:eastAsia="宋体" w:cs="宋体"/>
                                <w:b w:val="0"/>
                                <w:bCs w:val="0"/>
                                <w:sz w:val="21"/>
                                <w:szCs w:val="21"/>
                                <w:highlight w:val="none"/>
                                <w:lang w:val="en-US" w:eastAsia="zh-CN"/>
                              </w:rPr>
                              <w:t>十一</w:t>
                            </w:r>
                            <w:r>
                              <w:rPr>
                                <w:rFonts w:hint="eastAsia" w:ascii="宋体" w:hAnsi="宋体" w:eastAsia="宋体" w:cs="宋体"/>
                                <w:b w:val="0"/>
                                <w:bCs w:val="0"/>
                                <w:sz w:val="21"/>
                                <w:szCs w:val="21"/>
                                <w:highlight w:val="none"/>
                              </w:rPr>
                              <w:t>次会议材料之</w:t>
                            </w:r>
                            <w:r>
                              <w:rPr>
                                <w:rFonts w:hint="eastAsia" w:ascii="宋体" w:hAnsi="宋体" w:eastAsia="宋体" w:cs="宋体"/>
                                <w:b w:val="0"/>
                                <w:bCs w:val="0"/>
                                <w:sz w:val="21"/>
                                <w:szCs w:val="21"/>
                                <w:highlight w:val="none"/>
                                <w:lang w:val="en-US" w:eastAsia="zh-CN"/>
                              </w:rPr>
                              <w:t>三十一</w:t>
                            </w:r>
                          </w:p>
                        </w:txbxContent>
                      </wps:txbx>
                      <wps:bodyPr upright="1"/>
                    </wps:wsp>
                  </a:graphicData>
                </a:graphic>
              </wp:anchor>
            </w:drawing>
          </mc:Choice>
          <mc:Fallback>
            <w:pict>
              <v:shape id="_x0000_s1026" o:spid="_x0000_s1026" o:spt="202" type="#_x0000_t202" style="position:absolute;left:0pt;margin-left:0.85pt;margin-top:0.65pt;height:45.3pt;width:206.9pt;z-index:251659264;mso-width-relative:page;mso-height-relative:page;" fillcolor="#FFFFFF" filled="t" stroked="t" coordsize="21600,21600" o:gfxdata="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p8c+1QAAAAYBAAAPAAAAAAAAAAEA&#10;IAAAACIAAABkcnMvZG93bnJldi54bWxQSwECFAAUAAAACACHTuJAIGKSGBICAABEBAAADgAAAAAA&#10;AAABACAAAAAkAQAAZHJzL2Uyb0RvYy54bWxQSwUGAAAAAAYABgBZAQAAqA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江苏淮安农村商业银行股份有限公司</w:t>
                      </w:r>
                    </w:p>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第</w:t>
                      </w:r>
                      <w:r>
                        <w:rPr>
                          <w:rFonts w:hint="eastAsia" w:ascii="宋体" w:hAnsi="宋体" w:eastAsia="宋体" w:cs="宋体"/>
                          <w:b w:val="0"/>
                          <w:bCs w:val="0"/>
                          <w:sz w:val="21"/>
                          <w:szCs w:val="21"/>
                          <w:highlight w:val="none"/>
                          <w:lang w:val="en-US" w:eastAsia="zh-CN"/>
                        </w:rPr>
                        <w:t>五</w:t>
                      </w:r>
                      <w:r>
                        <w:rPr>
                          <w:rFonts w:hint="eastAsia" w:ascii="宋体" w:hAnsi="宋体" w:eastAsia="宋体" w:cs="宋体"/>
                          <w:b w:val="0"/>
                          <w:bCs w:val="0"/>
                          <w:sz w:val="21"/>
                          <w:szCs w:val="21"/>
                          <w:highlight w:val="none"/>
                        </w:rPr>
                        <w:t>届董事会第</w:t>
                      </w:r>
                      <w:r>
                        <w:rPr>
                          <w:rFonts w:hint="eastAsia" w:ascii="宋体" w:hAnsi="宋体" w:eastAsia="宋体" w:cs="宋体"/>
                          <w:b w:val="0"/>
                          <w:bCs w:val="0"/>
                          <w:sz w:val="21"/>
                          <w:szCs w:val="21"/>
                          <w:highlight w:val="none"/>
                          <w:lang w:val="en-US" w:eastAsia="zh-CN"/>
                        </w:rPr>
                        <w:t>十一</w:t>
                      </w:r>
                      <w:r>
                        <w:rPr>
                          <w:rFonts w:hint="eastAsia" w:ascii="宋体" w:hAnsi="宋体" w:eastAsia="宋体" w:cs="宋体"/>
                          <w:b w:val="0"/>
                          <w:bCs w:val="0"/>
                          <w:sz w:val="21"/>
                          <w:szCs w:val="21"/>
                          <w:highlight w:val="none"/>
                        </w:rPr>
                        <w:t>次会议材料之</w:t>
                      </w:r>
                      <w:r>
                        <w:rPr>
                          <w:rFonts w:hint="eastAsia" w:ascii="宋体" w:hAnsi="宋体" w:eastAsia="宋体" w:cs="宋体"/>
                          <w:b w:val="0"/>
                          <w:bCs w:val="0"/>
                          <w:sz w:val="21"/>
                          <w:szCs w:val="21"/>
                          <w:highlight w:val="none"/>
                          <w:lang w:val="en-US" w:eastAsia="zh-CN"/>
                        </w:rPr>
                        <w:t>三十一</w:t>
                      </w:r>
                    </w:p>
                  </w:txbxContent>
                </v:textbox>
              </v:shap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_GBK" w:hAnsi="方正小标宋_GBK" w:eastAsia="方正小标宋_GBK" w:cs="方正小标宋_GBK"/>
          <w:b/>
          <w:bCs/>
          <w:spacing w:val="9"/>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_GBK" w:hAnsi="方正小标宋_GBK" w:eastAsia="方正小标宋_GBK" w:cs="方正小标宋_GBK"/>
          <w:b/>
          <w:bCs/>
          <w:spacing w:val="9"/>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_GBK" w:hAnsi="方正小标宋_GBK" w:eastAsia="方正小标宋_GBK" w:cs="方正小标宋_GBK"/>
          <w:b/>
          <w:bCs/>
          <w:spacing w:val="9"/>
          <w:sz w:val="44"/>
          <w:szCs w:val="44"/>
          <w:lang w:val="en-US" w:eastAsia="zh-CN"/>
        </w:rPr>
      </w:pPr>
      <w:r>
        <w:rPr>
          <w:rFonts w:hint="eastAsia" w:ascii="方正小标宋_GBK" w:hAnsi="方正小标宋_GBK" w:eastAsia="方正小标宋_GBK" w:cs="方正小标宋_GBK"/>
          <w:b/>
          <w:bCs/>
          <w:spacing w:val="9"/>
          <w:sz w:val="44"/>
          <w:szCs w:val="44"/>
          <w:lang w:eastAsia="zh-CN"/>
        </w:rPr>
        <w:t>江苏淮安农村商业银行股份有限</w:t>
      </w:r>
      <w:r>
        <w:rPr>
          <w:rFonts w:hint="eastAsia" w:ascii="方正小标宋_GBK" w:hAnsi="方正小标宋_GBK" w:eastAsia="方正小标宋_GBK" w:cs="方正小标宋_GBK"/>
          <w:b/>
          <w:bCs/>
          <w:spacing w:val="9"/>
          <w:sz w:val="44"/>
          <w:szCs w:val="44"/>
          <w:lang w:val="en-US" w:eastAsia="zh-CN"/>
        </w:rPr>
        <w:t>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pacing w:val="7"/>
          <w:sz w:val="44"/>
          <w:szCs w:val="44"/>
          <w:lang w:eastAsia="zh-CN"/>
        </w:rPr>
        <w:t>202</w:t>
      </w:r>
      <w:r>
        <w:rPr>
          <w:rFonts w:hint="eastAsia" w:ascii="方正小标宋_GBK" w:hAnsi="方正小标宋_GBK" w:eastAsia="方正小标宋_GBK" w:cs="方正小标宋_GBK"/>
          <w:b/>
          <w:bCs/>
          <w:spacing w:val="7"/>
          <w:sz w:val="44"/>
          <w:szCs w:val="44"/>
          <w:lang w:val="en-US" w:eastAsia="zh-CN"/>
        </w:rPr>
        <w:t>5</w:t>
      </w:r>
      <w:r>
        <w:rPr>
          <w:rFonts w:hint="eastAsia" w:ascii="方正小标宋_GBK" w:hAnsi="方正小标宋_GBK" w:eastAsia="方正小标宋_GBK" w:cs="方正小标宋_GBK"/>
          <w:b/>
          <w:bCs/>
          <w:spacing w:val="7"/>
          <w:sz w:val="44"/>
          <w:szCs w:val="44"/>
          <w:lang w:eastAsia="zh-CN"/>
        </w:rPr>
        <w:t>年</w:t>
      </w:r>
      <w:r>
        <w:rPr>
          <w:rFonts w:hint="eastAsia" w:ascii="方正小标宋_GBK" w:hAnsi="方正小标宋_GBK" w:eastAsia="方正小标宋_GBK" w:cs="方正小标宋_GBK"/>
          <w:b/>
          <w:bCs/>
          <w:spacing w:val="7"/>
          <w:sz w:val="44"/>
          <w:szCs w:val="44"/>
          <w:lang w:val="en-US" w:eastAsia="zh-CN"/>
        </w:rPr>
        <w:t>度</w:t>
      </w:r>
      <w:r>
        <w:rPr>
          <w:rFonts w:hint="eastAsia" w:ascii="方正小标宋_GBK" w:hAnsi="方正小标宋_GBK" w:eastAsia="方正小标宋_GBK" w:cs="方正小标宋_GBK"/>
          <w:b/>
          <w:bCs/>
          <w:spacing w:val="7"/>
          <w:sz w:val="44"/>
          <w:szCs w:val="44"/>
          <w:lang w:eastAsia="zh-CN"/>
        </w:rPr>
        <w:t>第三支柱信息披露报告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both"/>
        <w:textAlignment w:val="baseline"/>
        <w:rPr>
          <w:rFonts w:hint="eastAsia" w:ascii="仿宋_GB2312" w:hAnsi="仿宋_GB2312" w:eastAsia="仿宋_GB2312" w:cs="仿宋_GB2312"/>
          <w:spacing w:val="-5"/>
          <w:sz w:val="32"/>
          <w:szCs w:val="32"/>
          <w:lang w:eastAsia="zh-CN"/>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5"/>
          <w:sz w:val="32"/>
          <w:szCs w:val="32"/>
          <w:lang w:eastAsia="zh-CN"/>
        </w:rPr>
        <w:t>根据《商业银行资本管</w:t>
      </w:r>
      <w:r>
        <w:rPr>
          <w:rFonts w:hint="eastAsia" w:ascii="仿宋_GB2312" w:hAnsi="仿宋_GB2312" w:eastAsia="仿宋_GB2312" w:cs="仿宋_GB2312"/>
          <w:spacing w:val="-7"/>
          <w:sz w:val="32"/>
          <w:szCs w:val="32"/>
          <w:lang w:eastAsia="zh-CN"/>
        </w:rPr>
        <w:t>理办法》(国家金融监督管理总局令2023年第4号)附件22《商</w:t>
      </w:r>
      <w:r>
        <w:rPr>
          <w:rFonts w:hint="eastAsia" w:ascii="仿宋_GB2312" w:hAnsi="仿宋_GB2312" w:eastAsia="仿宋_GB2312" w:cs="仿宋_GB2312"/>
          <w:spacing w:val="-1"/>
          <w:sz w:val="32"/>
          <w:szCs w:val="32"/>
          <w:lang w:eastAsia="zh-CN"/>
        </w:rPr>
        <w:t>业银行信息披露内容和要求》相关规定，</w:t>
      </w:r>
      <w:r>
        <w:rPr>
          <w:rFonts w:hint="eastAsia" w:ascii="仿宋_GB2312" w:hAnsi="仿宋_GB2312" w:eastAsia="仿宋_GB2312" w:cs="仿宋_GB2312"/>
          <w:spacing w:val="-5"/>
          <w:sz w:val="32"/>
          <w:szCs w:val="32"/>
          <w:lang w:eastAsia="zh-CN"/>
        </w:rPr>
        <w:t>本行</w:t>
      </w:r>
      <w:r>
        <w:rPr>
          <w:rFonts w:hint="eastAsia" w:ascii="仿宋_GB2312" w:hAnsi="仿宋_GB2312" w:eastAsia="仿宋_GB2312" w:cs="仿宋_GB2312"/>
          <w:spacing w:val="-5"/>
          <w:sz w:val="32"/>
          <w:szCs w:val="32"/>
          <w:lang w:val="en-US" w:eastAsia="zh-CN"/>
        </w:rPr>
        <w:t>2025年度第三支柱信息</w:t>
      </w:r>
      <w:r>
        <w:rPr>
          <w:rFonts w:hint="eastAsia" w:ascii="仿宋_GB2312" w:hAnsi="仿宋_GB2312" w:eastAsia="仿宋_GB2312" w:cs="仿宋_GB2312"/>
          <w:spacing w:val="-1"/>
          <w:sz w:val="32"/>
          <w:szCs w:val="32"/>
          <w:lang w:eastAsia="zh-CN"/>
        </w:rPr>
        <w:t>披露相关信息如下：</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黑体" w:hAnsi="黑体" w:eastAsia="黑体" w:cs="黑体"/>
          <w:spacing w:val="-4"/>
          <w:sz w:val="32"/>
          <w:szCs w:val="32"/>
          <w:lang w:eastAsia="zh-CN"/>
        </w:rPr>
      </w:pPr>
      <w:r>
        <w:rPr>
          <w:rFonts w:hint="eastAsia" w:ascii="黑体" w:hAnsi="黑体" w:eastAsia="黑体" w:cs="黑体"/>
          <w:spacing w:val="-4"/>
          <w:sz w:val="32"/>
          <w:szCs w:val="32"/>
          <w:lang w:val="en-US" w:eastAsia="zh-CN"/>
        </w:rPr>
        <w:t>一、</w:t>
      </w:r>
      <w:r>
        <w:rPr>
          <w:rFonts w:hint="eastAsia" w:ascii="黑体" w:hAnsi="黑体" w:eastAsia="黑体" w:cs="黑体"/>
          <w:spacing w:val="-4"/>
          <w:sz w:val="32"/>
          <w:szCs w:val="32"/>
          <w:lang w:eastAsia="zh-CN"/>
        </w:rPr>
        <w:t>KM1监管并表关键审慎监管指标</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jc w:val="right"/>
        <w:textAlignment w:val="baseline"/>
        <w:rPr>
          <w:rFonts w:hint="eastAsia" w:ascii="黑体" w:hAnsi="黑体" w:eastAsia="黑体" w:cs="黑体"/>
          <w:spacing w:val="-4"/>
          <w:sz w:val="32"/>
          <w:szCs w:val="32"/>
          <w:lang w:eastAsia="zh-CN"/>
        </w:rPr>
      </w:pPr>
      <w:r>
        <w:rPr>
          <w:rFonts w:hint="eastAsia" w:ascii="仿宋_GB2312" w:hAnsi="仿宋_GB2312" w:eastAsia="仿宋_GB2312" w:cs="仿宋_GB2312"/>
          <w:spacing w:val="-2"/>
          <w:sz w:val="28"/>
          <w:szCs w:val="28"/>
          <w:lang w:eastAsia="zh-CN"/>
        </w:rPr>
        <w:t>单位：人民币</w:t>
      </w:r>
      <w:r>
        <w:rPr>
          <w:rFonts w:hint="eastAsia" w:ascii="仿宋_GB2312" w:hAnsi="仿宋_GB2312" w:eastAsia="仿宋_GB2312" w:cs="仿宋_GB2312"/>
          <w:spacing w:val="-2"/>
          <w:sz w:val="28"/>
          <w:szCs w:val="28"/>
          <w:lang w:val="en-US" w:eastAsia="zh-CN"/>
        </w:rPr>
        <w:t xml:space="preserve">  </w:t>
      </w:r>
      <w:r>
        <w:rPr>
          <w:rFonts w:hint="eastAsia" w:ascii="仿宋_GB2312" w:hAnsi="仿宋_GB2312" w:eastAsia="仿宋_GB2312" w:cs="仿宋_GB2312"/>
          <w:spacing w:val="-2"/>
          <w:sz w:val="28"/>
          <w:szCs w:val="28"/>
          <w:lang w:eastAsia="zh-CN"/>
        </w:rPr>
        <w:t>万元</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449"/>
        <w:gridCol w:w="1416"/>
        <w:gridCol w:w="1416"/>
        <w:gridCol w:w="1416"/>
        <w:gridCol w:w="141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项目</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202</w:t>
            </w:r>
            <w:r>
              <w:rPr>
                <w:rFonts w:hint="eastAsia" w:ascii="宋体" w:hAnsi="宋体" w:eastAsia="宋体" w:cs="宋体"/>
                <w:b/>
                <w:bCs/>
                <w:snapToGrid/>
                <w:sz w:val="20"/>
                <w:szCs w:val="20"/>
                <w:lang w:val="en-US" w:eastAsia="zh-CN"/>
              </w:rPr>
              <w:t>5</w:t>
            </w:r>
            <w:r>
              <w:rPr>
                <w:rFonts w:hint="eastAsia" w:ascii="宋体" w:hAnsi="宋体" w:eastAsia="宋体" w:cs="宋体"/>
                <w:b/>
                <w:bCs/>
                <w:snapToGrid/>
                <w:sz w:val="20"/>
                <w:szCs w:val="20"/>
                <w:lang w:eastAsia="zh-CN"/>
              </w:rPr>
              <w:t>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val="en-US" w:eastAsia="zh-CN"/>
              </w:rPr>
              <w:t>12</w:t>
            </w:r>
            <w:r>
              <w:rPr>
                <w:rFonts w:hint="eastAsia" w:ascii="宋体" w:hAnsi="宋体" w:eastAsia="宋体" w:cs="宋体"/>
                <w:b/>
                <w:bCs/>
                <w:snapToGrid/>
                <w:sz w:val="20"/>
                <w:szCs w:val="20"/>
                <w:lang w:eastAsia="zh-CN"/>
              </w:rPr>
              <w:t>月3</w:t>
            </w:r>
            <w:r>
              <w:rPr>
                <w:rFonts w:hint="eastAsia" w:ascii="宋体" w:hAnsi="宋体" w:eastAsia="宋体" w:cs="宋体"/>
                <w:b/>
                <w:bCs/>
                <w:snapToGrid/>
                <w:sz w:val="20"/>
                <w:szCs w:val="20"/>
                <w:lang w:val="en-US" w:eastAsia="zh-CN"/>
              </w:rPr>
              <w:t>1</w:t>
            </w:r>
            <w:r>
              <w:rPr>
                <w:rFonts w:hint="eastAsia" w:ascii="宋体" w:hAnsi="宋体" w:eastAsia="宋体" w:cs="宋体"/>
                <w:b/>
                <w:bCs/>
                <w:snapToGrid/>
                <w:sz w:val="20"/>
                <w:szCs w:val="20"/>
                <w:lang w:eastAsia="zh-CN"/>
              </w:rPr>
              <w:t>日</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202</w:t>
            </w:r>
            <w:r>
              <w:rPr>
                <w:rFonts w:hint="eastAsia" w:ascii="宋体" w:hAnsi="宋体" w:eastAsia="宋体" w:cs="宋体"/>
                <w:b/>
                <w:bCs/>
                <w:snapToGrid/>
                <w:sz w:val="20"/>
                <w:szCs w:val="20"/>
                <w:lang w:val="en-US" w:eastAsia="zh-CN"/>
              </w:rPr>
              <w:t>5</w:t>
            </w:r>
            <w:r>
              <w:rPr>
                <w:rFonts w:hint="eastAsia" w:ascii="宋体" w:hAnsi="宋体" w:eastAsia="宋体" w:cs="宋体"/>
                <w:b/>
                <w:bCs/>
                <w:snapToGrid/>
                <w:sz w:val="20"/>
                <w:szCs w:val="20"/>
                <w:lang w:eastAsia="zh-CN"/>
              </w:rPr>
              <w:t>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val="en-US" w:eastAsia="zh-CN"/>
              </w:rPr>
              <w:t>9</w:t>
            </w:r>
            <w:r>
              <w:rPr>
                <w:rFonts w:hint="eastAsia" w:ascii="宋体" w:hAnsi="宋体" w:eastAsia="宋体" w:cs="宋体"/>
                <w:b/>
                <w:bCs/>
                <w:snapToGrid/>
                <w:sz w:val="20"/>
                <w:szCs w:val="20"/>
                <w:lang w:eastAsia="zh-CN"/>
              </w:rPr>
              <w:t>月3</w:t>
            </w:r>
            <w:r>
              <w:rPr>
                <w:rFonts w:hint="eastAsia" w:ascii="宋体" w:hAnsi="宋体" w:eastAsia="宋体" w:cs="宋体"/>
                <w:b/>
                <w:bCs/>
                <w:snapToGrid/>
                <w:sz w:val="20"/>
                <w:szCs w:val="20"/>
                <w:lang w:val="en-US" w:eastAsia="zh-CN"/>
              </w:rPr>
              <w:t>0</w:t>
            </w:r>
            <w:r>
              <w:rPr>
                <w:rFonts w:hint="eastAsia" w:ascii="宋体" w:hAnsi="宋体" w:eastAsia="宋体" w:cs="宋体"/>
                <w:b/>
                <w:bCs/>
                <w:snapToGrid/>
                <w:sz w:val="20"/>
                <w:szCs w:val="20"/>
                <w:lang w:eastAsia="zh-CN"/>
              </w:rPr>
              <w:t>日</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202</w:t>
            </w:r>
            <w:r>
              <w:rPr>
                <w:rFonts w:hint="eastAsia" w:ascii="宋体" w:hAnsi="宋体" w:eastAsia="宋体" w:cs="宋体"/>
                <w:b/>
                <w:bCs/>
                <w:snapToGrid/>
                <w:sz w:val="20"/>
                <w:szCs w:val="20"/>
                <w:lang w:val="en-US" w:eastAsia="zh-CN"/>
              </w:rPr>
              <w:t>5</w:t>
            </w:r>
            <w:r>
              <w:rPr>
                <w:rFonts w:hint="eastAsia" w:ascii="宋体" w:hAnsi="宋体" w:eastAsia="宋体" w:cs="宋体"/>
                <w:b/>
                <w:bCs/>
                <w:snapToGrid/>
                <w:sz w:val="20"/>
                <w:szCs w:val="20"/>
                <w:lang w:eastAsia="zh-CN"/>
              </w:rPr>
              <w:t>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val="en-US" w:eastAsia="zh-CN"/>
              </w:rPr>
              <w:t>6</w:t>
            </w:r>
            <w:r>
              <w:rPr>
                <w:rFonts w:hint="eastAsia" w:ascii="宋体" w:hAnsi="宋体" w:eastAsia="宋体" w:cs="宋体"/>
                <w:b/>
                <w:bCs/>
                <w:snapToGrid/>
                <w:sz w:val="20"/>
                <w:szCs w:val="20"/>
                <w:lang w:eastAsia="zh-CN"/>
              </w:rPr>
              <w:t>月3</w:t>
            </w:r>
            <w:r>
              <w:rPr>
                <w:rFonts w:hint="eastAsia" w:ascii="宋体" w:hAnsi="宋体" w:eastAsia="宋体" w:cs="宋体"/>
                <w:b/>
                <w:bCs/>
                <w:snapToGrid/>
                <w:sz w:val="20"/>
                <w:szCs w:val="20"/>
                <w:lang w:val="en-US" w:eastAsia="zh-CN"/>
              </w:rPr>
              <w:t>0</w:t>
            </w:r>
            <w:r>
              <w:rPr>
                <w:rFonts w:hint="eastAsia" w:ascii="宋体" w:hAnsi="宋体" w:eastAsia="宋体" w:cs="宋体"/>
                <w:b/>
                <w:bCs/>
                <w:snapToGrid/>
                <w:sz w:val="20"/>
                <w:szCs w:val="20"/>
                <w:lang w:eastAsia="zh-CN"/>
              </w:rPr>
              <w:t>日</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202</w:t>
            </w:r>
            <w:r>
              <w:rPr>
                <w:rFonts w:hint="eastAsia" w:ascii="宋体" w:hAnsi="宋体" w:eastAsia="宋体" w:cs="宋体"/>
                <w:b/>
                <w:bCs/>
                <w:snapToGrid/>
                <w:sz w:val="20"/>
                <w:szCs w:val="20"/>
                <w:lang w:val="en-US" w:eastAsia="zh-CN"/>
              </w:rPr>
              <w:t>5</w:t>
            </w:r>
            <w:r>
              <w:rPr>
                <w:rFonts w:hint="eastAsia" w:ascii="宋体" w:hAnsi="宋体" w:eastAsia="宋体" w:cs="宋体"/>
                <w:b/>
                <w:bCs/>
                <w:snapToGrid/>
                <w:sz w:val="20"/>
                <w:szCs w:val="20"/>
                <w:lang w:eastAsia="zh-CN"/>
              </w:rPr>
              <w:t>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val="en-US" w:eastAsia="zh-CN"/>
              </w:rPr>
              <w:t>3</w:t>
            </w:r>
            <w:r>
              <w:rPr>
                <w:rFonts w:hint="eastAsia" w:ascii="宋体" w:hAnsi="宋体" w:eastAsia="宋体" w:cs="宋体"/>
                <w:b/>
                <w:bCs/>
                <w:snapToGrid/>
                <w:sz w:val="20"/>
                <w:szCs w:val="20"/>
                <w:lang w:eastAsia="zh-CN"/>
              </w:rPr>
              <w:t>月3</w:t>
            </w:r>
            <w:r>
              <w:rPr>
                <w:rFonts w:hint="eastAsia" w:ascii="宋体" w:hAnsi="宋体" w:eastAsia="宋体" w:cs="宋体"/>
                <w:b/>
                <w:bCs/>
                <w:snapToGrid/>
                <w:sz w:val="20"/>
                <w:szCs w:val="20"/>
                <w:lang w:val="en-US" w:eastAsia="zh-CN"/>
              </w:rPr>
              <w:t>1</w:t>
            </w:r>
            <w:r>
              <w:rPr>
                <w:rFonts w:hint="eastAsia" w:ascii="宋体" w:hAnsi="宋体" w:eastAsia="宋体" w:cs="宋体"/>
                <w:b/>
                <w:bCs/>
                <w:snapToGrid/>
                <w:sz w:val="20"/>
                <w:szCs w:val="20"/>
                <w:lang w:eastAsia="zh-CN"/>
              </w:rPr>
              <w:t>日</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2024年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napToGrid/>
                <w:sz w:val="20"/>
                <w:szCs w:val="20"/>
                <w:lang w:val="en-US" w:eastAsia="zh-CN"/>
              </w:rPr>
            </w:pPr>
            <w:r>
              <w:rPr>
                <w:rFonts w:hint="eastAsia" w:ascii="宋体" w:hAnsi="宋体" w:eastAsia="宋体" w:cs="宋体"/>
                <w:b/>
                <w:bCs/>
                <w:snapToGrid/>
                <w:sz w:val="20"/>
                <w:szCs w:val="20"/>
                <w:lang w:val="en-US" w:eastAsia="zh-CN"/>
              </w:rPr>
              <w:t>12</w:t>
            </w:r>
            <w:r>
              <w:rPr>
                <w:rFonts w:hint="eastAsia" w:ascii="宋体" w:hAnsi="宋体" w:eastAsia="宋体" w:cs="宋体"/>
                <w:b/>
                <w:bCs/>
                <w:snapToGrid/>
                <w:sz w:val="20"/>
                <w:szCs w:val="20"/>
                <w:lang w:eastAsia="zh-CN"/>
              </w:rPr>
              <w:t>月3</w:t>
            </w:r>
            <w:r>
              <w:rPr>
                <w:rFonts w:hint="eastAsia" w:ascii="宋体" w:hAnsi="宋体" w:eastAsia="宋体" w:cs="宋体"/>
                <w:b/>
                <w:bCs/>
                <w:snapToGrid/>
                <w:sz w:val="20"/>
                <w:szCs w:val="20"/>
                <w:lang w:val="en-US" w:eastAsia="zh-CN"/>
              </w:rPr>
              <w:t>1</w:t>
            </w:r>
            <w:r>
              <w:rPr>
                <w:rFonts w:hint="eastAsia" w:ascii="宋体" w:hAnsi="宋体" w:eastAsia="宋体" w:cs="宋体"/>
                <w:b/>
                <w:bCs/>
                <w:snapToGrid/>
                <w:sz w:val="20"/>
                <w:szCs w:val="2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可用资本（数额）</w:t>
            </w:r>
          </w:p>
        </w:tc>
        <w:tc>
          <w:tcPr>
            <w:tcW w:w="774"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核心一级资本净额</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 xml:space="preserve">580,909.81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536,134.46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544,907.29 </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520,313.02 </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520,729.01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2</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一级资本净额</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630,909.81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586,134.46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594,907.29 </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570,313.02 </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570,729.01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3</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资本净额</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 xml:space="preserve">685,536.69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640,246.21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648,315.28 </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sz w:val="20"/>
                <w:szCs w:val="20"/>
                <w:lang w:eastAsia="zh-CN"/>
              </w:rPr>
            </w:pPr>
            <w:r>
              <w:rPr>
                <w:rFonts w:hint="eastAsia" w:ascii="宋体" w:hAnsi="宋体" w:eastAsia="宋体" w:cs="宋体"/>
                <w:i w:val="0"/>
                <w:iCs w:val="0"/>
                <w:snapToGrid w:val="0"/>
                <w:color w:val="000000"/>
                <w:kern w:val="0"/>
                <w:sz w:val="20"/>
                <w:szCs w:val="20"/>
                <w:u w:val="none"/>
                <w:lang w:val="en-US" w:eastAsia="zh-CN" w:bidi="ar"/>
              </w:rPr>
              <w:t xml:space="preserve">622,981.20 </w:t>
            </w:r>
          </w:p>
        </w:tc>
        <w:tc>
          <w:tcPr>
            <w:tcW w:w="77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620,451.39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风险加权资产（数额）</w:t>
            </w:r>
          </w:p>
        </w:tc>
        <w:tc>
          <w:tcPr>
            <w:tcW w:w="774"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4</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风险加权资产</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 xml:space="preserve">4,722,429.13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
              </w:rPr>
              <w:t xml:space="preserve">4,684,221.44  </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
              </w:rPr>
              <w:t xml:space="preserve">4,626,092.13 </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highlight w:val="none"/>
                <w:lang w:eastAsia="zh-CN"/>
              </w:rPr>
              <w:t xml:space="preserve">4,565,830.77   </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highlight w:val="none"/>
                <w:lang w:eastAsia="zh-CN"/>
              </w:rPr>
            </w:pPr>
            <w:r>
              <w:rPr>
                <w:rFonts w:hint="eastAsia" w:ascii="宋体" w:hAnsi="宋体" w:eastAsia="宋体" w:cs="宋体"/>
                <w:snapToGrid/>
                <w:sz w:val="20"/>
                <w:szCs w:val="20"/>
                <w:lang w:eastAsia="zh-CN"/>
              </w:rPr>
              <w:t>4,325,423.29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资本充足率</w:t>
            </w:r>
          </w:p>
        </w:tc>
        <w:tc>
          <w:tcPr>
            <w:tcW w:w="774"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5</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核心一级资本充足率（%）</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12.30%</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
              </w:rPr>
              <w:t>11.45%</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11.78%</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11.40%</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6</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一级资本充足率（%）</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13.36%</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
              </w:rPr>
              <w:t>12.51%</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12.86%</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12.49%</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13.19%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7</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资本充足率（%）</w:t>
            </w:r>
          </w:p>
        </w:tc>
        <w:tc>
          <w:tcPr>
            <w:tcW w:w="781" w:type="pct"/>
            <w:shd w:val="clear" w:color="auto" w:fill="auto"/>
            <w:vAlign w:val="center"/>
          </w:tcPr>
          <w:p>
            <w:pPr>
              <w:keepNext w:val="0"/>
              <w:keepLines w:val="0"/>
              <w:widowControl/>
              <w:suppressLineNumbers w:val="0"/>
              <w:jc w:val="right"/>
              <w:textAlignment w:val="center"/>
              <w:rPr>
                <w:rFonts w:hint="eastAsia" w:ascii="宋体" w:hAnsi="宋体" w:eastAsia="宋体" w:cs="宋体"/>
                <w:snapToGrid/>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14.52%</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
              </w:rPr>
              <w:t>13.67%</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14.01%</w:t>
            </w:r>
          </w:p>
        </w:tc>
        <w:tc>
          <w:tcPr>
            <w:tcW w:w="781" w:type="pct"/>
            <w:shd w:val="clear" w:color="auto" w:fill="auto"/>
            <w:vAlign w:val="center"/>
          </w:tcPr>
          <w:p>
            <w:pPr>
              <w:keepNext w:val="0"/>
              <w:keepLines w:val="0"/>
              <w:pageBreakBefore w:val="0"/>
              <w:widowControl/>
              <w:suppressLineNumbers w:val="0"/>
              <w:wordWrap/>
              <w:overflowPunct/>
              <w:topLinePunct w:val="0"/>
              <w:bidi w:val="0"/>
              <w:spacing w:line="240" w:lineRule="exact"/>
              <w:jc w:val="right"/>
              <w:textAlignment w:val="center"/>
              <w:rPr>
                <w:rFonts w:hint="eastAsia" w:ascii="宋体" w:hAnsi="宋体" w:eastAsia="宋体" w:cs="宋体"/>
                <w:snapToGrid/>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13.64%</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14.34%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其他各级资本要求</w:t>
            </w:r>
          </w:p>
        </w:tc>
        <w:tc>
          <w:tcPr>
            <w:tcW w:w="774"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8</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储备资本要求（%）</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val="en-US" w:eastAsia="zh-CN"/>
              </w:rPr>
            </w:pPr>
            <w:r>
              <w:rPr>
                <w:rFonts w:hint="eastAsia" w:ascii="宋体" w:hAnsi="宋体" w:eastAsia="宋体" w:cs="宋体"/>
                <w:snapToGrid/>
                <w:sz w:val="20"/>
                <w:szCs w:val="20"/>
                <w:lang w:val="en-US" w:eastAsia="zh-CN"/>
              </w:rPr>
              <w:t>2.5%</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9</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逆周期资本要求（%）</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val="en-US" w:eastAsia="zh-CN"/>
              </w:rPr>
            </w:pPr>
            <w:r>
              <w:rPr>
                <w:rFonts w:hint="eastAsia" w:ascii="宋体" w:hAnsi="宋体" w:eastAsia="宋体" w:cs="宋体"/>
                <w:snapToGrid/>
                <w:sz w:val="20"/>
                <w:szCs w:val="20"/>
                <w:lang w:eastAsia="zh-CN"/>
              </w:rPr>
              <w:t>0.00%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0.00%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0.00%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0.00%</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10</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全球系统重要性银行或国内系统重要性银行附加资本要求（%）</w:t>
            </w:r>
          </w:p>
        </w:tc>
        <w:tc>
          <w:tcPr>
            <w:tcW w:w="781"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p>
        </w:tc>
        <w:tc>
          <w:tcPr>
            <w:tcW w:w="781"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p>
        </w:tc>
        <w:tc>
          <w:tcPr>
            <w:tcW w:w="781" w:type="pct"/>
            <w:shd w:val="clear" w:color="000000" w:fill="D9D9D9"/>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p>
        </w:tc>
        <w:tc>
          <w:tcPr>
            <w:tcW w:w="781" w:type="pct"/>
            <w:shd w:val="clear" w:color="000000" w:fill="D9D9D9"/>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p>
        </w:tc>
        <w:tc>
          <w:tcPr>
            <w:tcW w:w="774" w:type="pct"/>
            <w:shd w:val="clear" w:color="000000" w:fill="D9D9D9"/>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11</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其他各级资本要求（%）（8+9+10）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val="en-US" w:eastAsia="zh-CN"/>
              </w:rPr>
            </w:pPr>
            <w:r>
              <w:rPr>
                <w:rFonts w:hint="eastAsia" w:ascii="宋体" w:hAnsi="宋体" w:eastAsia="宋体" w:cs="宋体"/>
                <w:snapToGrid/>
                <w:sz w:val="20"/>
                <w:szCs w:val="20"/>
                <w:lang w:val="en-US" w:eastAsia="zh-CN"/>
              </w:rPr>
              <w:t>2.5%</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12</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满足最低资本要求后的可用核心一级资本净额占风险加权资产的比例（%）</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宋体" w:hAnsi="宋体" w:eastAsia="宋体" w:cs="宋体"/>
                <w:snapToGrid/>
                <w:sz w:val="20"/>
                <w:szCs w:val="20"/>
                <w:lang w:val="en-US" w:eastAsia="zh-CN"/>
              </w:rPr>
            </w:pPr>
            <w:r>
              <w:rPr>
                <w:rFonts w:hint="eastAsia" w:ascii="宋体" w:hAnsi="宋体" w:eastAsia="宋体" w:cs="宋体"/>
                <w:snapToGrid/>
                <w:sz w:val="20"/>
                <w:szCs w:val="20"/>
                <w:lang w:val="en-US" w:eastAsia="zh-CN"/>
              </w:rPr>
              <w:t>6.52%</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5.67%</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6.01%</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5.64%</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杠杆率</w:t>
            </w:r>
          </w:p>
        </w:tc>
        <w:tc>
          <w:tcPr>
            <w:tcW w:w="774"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13</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调整后表内外资产余额</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highlight w:val="none"/>
                <w:lang w:val="en-US" w:eastAsia="zh-CN"/>
              </w:rPr>
            </w:pPr>
            <w:r>
              <w:rPr>
                <w:rFonts w:hint="eastAsia" w:ascii="宋体" w:hAnsi="宋体" w:eastAsia="宋体" w:cs="宋体"/>
                <w:snapToGrid/>
                <w:sz w:val="20"/>
                <w:szCs w:val="20"/>
                <w:highlight w:val="none"/>
                <w:lang w:val="en-US" w:eastAsia="zh-CN"/>
              </w:rPr>
              <w:t xml:space="preserve">7,861,334.35 </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highlight w:val="none"/>
                <w:lang w:val="en-US" w:eastAsia="zh-CN"/>
              </w:rPr>
            </w:pPr>
            <w:r>
              <w:rPr>
                <w:rFonts w:hint="eastAsia" w:ascii="宋体" w:hAnsi="宋体" w:eastAsia="宋体" w:cs="宋体"/>
                <w:snapToGrid/>
                <w:sz w:val="20"/>
                <w:szCs w:val="20"/>
                <w:highlight w:val="none"/>
                <w:lang w:val="en-US" w:eastAsia="zh-CN"/>
              </w:rPr>
              <w:t xml:space="preserve">7,831,223.91   </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highlight w:val="none"/>
                <w:lang w:val="en-US" w:eastAsia="zh-CN"/>
              </w:rPr>
              <w:t xml:space="preserve">7,750,666.45  </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val="en-US" w:eastAsia="zh-CN"/>
              </w:rPr>
              <w:t xml:space="preserve">7,685,092.96 </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7,160,024.36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14</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杠杆率（%）</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宋体" w:hAnsi="宋体" w:eastAsia="宋体" w:cs="宋体"/>
                <w:snapToGrid/>
                <w:sz w:val="20"/>
                <w:szCs w:val="20"/>
                <w:lang w:val="en-US" w:eastAsia="zh-CN"/>
              </w:rPr>
            </w:pPr>
            <w:r>
              <w:rPr>
                <w:rFonts w:hint="eastAsia" w:ascii="宋体" w:hAnsi="宋体" w:eastAsia="宋体" w:cs="宋体"/>
                <w:snapToGrid/>
                <w:sz w:val="20"/>
                <w:szCs w:val="20"/>
                <w:lang w:val="en-US" w:eastAsia="zh-CN"/>
              </w:rPr>
              <w:t>8.03%</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highlight w:val="none"/>
                <w:lang w:val="en-US" w:eastAsia="zh-CN"/>
              </w:rPr>
              <w:t>7.48%</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val="en-US" w:eastAsia="zh-CN"/>
              </w:rPr>
              <w:t>7.68%</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val="en-US" w:eastAsia="zh-CN"/>
              </w:rPr>
              <w:t>7.42%</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14a</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杠杆率a（%）</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宋体" w:hAnsi="宋体" w:eastAsia="宋体" w:cs="宋体"/>
                <w:snapToGrid/>
                <w:sz w:val="20"/>
                <w:szCs w:val="20"/>
                <w:lang w:val="en-US" w:eastAsia="zh-CN"/>
              </w:rPr>
            </w:pPr>
            <w:r>
              <w:rPr>
                <w:rFonts w:hint="eastAsia" w:ascii="宋体" w:hAnsi="宋体" w:eastAsia="宋体" w:cs="宋体"/>
                <w:snapToGrid/>
                <w:sz w:val="20"/>
                <w:szCs w:val="20"/>
                <w:lang w:val="en-US" w:eastAsia="zh-CN"/>
              </w:rPr>
              <w:t>8.03%</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highlight w:val="none"/>
                <w:lang w:val="en-US" w:eastAsia="zh-CN"/>
              </w:rPr>
              <w:t>7.48%</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val="en-US" w:eastAsia="zh-CN"/>
              </w:rPr>
              <w:t>7.68%</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val="en-US" w:eastAsia="zh-CN"/>
              </w:rPr>
              <w:t>7.42%</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流动性覆盖率</w:t>
            </w:r>
          </w:p>
        </w:tc>
        <w:tc>
          <w:tcPr>
            <w:tcW w:w="774"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15</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合格优质流动性资产</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16</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现金净流出量</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17</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流动性覆盖率（%）</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净稳定资金比例</w:t>
            </w:r>
          </w:p>
        </w:tc>
        <w:tc>
          <w:tcPr>
            <w:tcW w:w="774" w:type="pct"/>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18</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可用稳定资金合计</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19</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所需稳定资金合计</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20</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净稳定资金比例（%）</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不适用</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5" w:type="pct"/>
            <w:gridSpan w:val="6"/>
            <w:shd w:val="clear" w:color="000000" w:fill="D8D8D8"/>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流动性比例</w:t>
            </w:r>
          </w:p>
        </w:tc>
        <w:tc>
          <w:tcPr>
            <w:tcW w:w="774" w:type="pct"/>
            <w:shd w:val="clear" w:color="000000" w:fill="D8D8D8"/>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bCs/>
                <w:snapToGrid/>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21</w:t>
            </w:r>
          </w:p>
        </w:tc>
        <w:tc>
          <w:tcPr>
            <w:tcW w:w="8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napToGrid/>
                <w:sz w:val="20"/>
                <w:szCs w:val="20"/>
                <w:lang w:eastAsia="zh-CN"/>
              </w:rPr>
            </w:pPr>
            <w:r>
              <w:rPr>
                <w:rFonts w:hint="eastAsia" w:ascii="宋体" w:hAnsi="宋体" w:eastAsia="宋体" w:cs="宋体"/>
                <w:snapToGrid/>
                <w:sz w:val="20"/>
                <w:szCs w:val="20"/>
                <w:lang w:eastAsia="zh-CN"/>
              </w:rPr>
              <w:t>流动性比例（%）</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宋体" w:hAnsi="宋体" w:eastAsia="宋体" w:cs="宋体"/>
                <w:snapToGrid/>
                <w:sz w:val="20"/>
                <w:szCs w:val="20"/>
                <w:lang w:val="en-US" w:eastAsia="zh-CN"/>
              </w:rPr>
            </w:pPr>
            <w:r>
              <w:rPr>
                <w:rFonts w:hint="eastAsia" w:ascii="宋体" w:hAnsi="宋体" w:eastAsia="宋体" w:cs="宋体"/>
                <w:snapToGrid/>
                <w:sz w:val="20"/>
                <w:szCs w:val="20"/>
                <w:lang w:val="en-US" w:eastAsia="zh-CN"/>
              </w:rPr>
              <w:t>95.85%</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highlight w:val="none"/>
                <w:lang w:val="en-US" w:eastAsia="zh-CN"/>
              </w:rPr>
              <w:t>94.37%</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highlight w:val="none"/>
                <w:lang w:val="en-US" w:eastAsia="zh-CN"/>
              </w:rPr>
              <w:t>99.89%</w:t>
            </w:r>
          </w:p>
        </w:tc>
        <w:tc>
          <w:tcPr>
            <w:tcW w:w="78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color w:val="000000"/>
                <w:sz w:val="20"/>
                <w:szCs w:val="20"/>
                <w:lang w:val="en-US" w:eastAsia="zh-CN" w:bidi="ar-SA"/>
              </w:rPr>
            </w:pPr>
            <w:r>
              <w:rPr>
                <w:rFonts w:hint="eastAsia" w:ascii="宋体" w:hAnsi="宋体" w:eastAsia="宋体" w:cs="宋体"/>
                <w:snapToGrid/>
                <w:sz w:val="20"/>
                <w:szCs w:val="20"/>
                <w:lang w:val="en-US" w:eastAsia="zh-CN"/>
              </w:rPr>
              <w:t>93.75%</w:t>
            </w:r>
          </w:p>
        </w:tc>
        <w:tc>
          <w:tcPr>
            <w:tcW w:w="7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snapToGrid/>
                <w:sz w:val="20"/>
                <w:szCs w:val="20"/>
                <w:lang w:val="en-US" w:eastAsia="zh-CN"/>
              </w:rPr>
            </w:pPr>
            <w:r>
              <w:rPr>
                <w:rFonts w:hint="eastAsia" w:ascii="宋体" w:hAnsi="宋体" w:eastAsia="宋体" w:cs="宋体"/>
                <w:snapToGrid/>
                <w:sz w:val="20"/>
                <w:szCs w:val="20"/>
                <w:lang w:eastAsia="zh-CN"/>
              </w:rPr>
              <w:t>82.59%</w:t>
            </w:r>
          </w:p>
        </w:tc>
      </w:tr>
    </w:tbl>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44"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注：以上信息无需对前期数据追溯披露，下同。</w:t>
      </w:r>
    </w:p>
    <w:p>
      <w:pPr>
        <w:keepNext w:val="0"/>
        <w:keepLines w:val="0"/>
        <w:pageBreakBefore w:val="0"/>
        <w:widowControl/>
        <w:numPr>
          <w:ilvl w:val="0"/>
          <w:numId w:val="0"/>
        </w:numPr>
        <w:tabs>
          <w:tab w:val="left" w:pos="2165"/>
        </w:tabs>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黑体" w:hAnsi="黑体" w:eastAsia="黑体" w:cs="黑体"/>
          <w:spacing w:val="-3"/>
          <w:sz w:val="32"/>
          <w:szCs w:val="32"/>
          <w:lang w:val="en-US" w:eastAsia="zh-CN"/>
        </w:rPr>
        <w:sectPr>
          <w:headerReference r:id="rId3" w:type="default"/>
          <w:footerReference r:id="rId4" w:type="default"/>
          <w:pgSz w:w="11906" w:h="16839"/>
          <w:pgMar w:top="1701" w:right="1531" w:bottom="1701" w:left="1531" w:header="1077" w:footer="1077" w:gutter="0"/>
          <w:pgNumType w:fmt="numberInDash"/>
          <w:cols w:space="720" w:num="1"/>
        </w:sectPr>
      </w:pPr>
    </w:p>
    <w:p>
      <w:pPr>
        <w:keepNext w:val="0"/>
        <w:keepLines w:val="0"/>
        <w:pageBreakBefore w:val="0"/>
        <w:widowControl/>
        <w:numPr>
          <w:ilvl w:val="0"/>
          <w:numId w:val="0"/>
        </w:numPr>
        <w:tabs>
          <w:tab w:val="left" w:pos="2165"/>
        </w:tabs>
        <w:kinsoku w:val="0"/>
        <w:wordWrap/>
        <w:overflowPunct/>
        <w:topLinePunct w:val="0"/>
        <w:autoSpaceDE w:val="0"/>
        <w:autoSpaceDN w:val="0"/>
        <w:bidi w:val="0"/>
        <w:adjustRightInd w:val="0"/>
        <w:snapToGrid w:val="0"/>
        <w:spacing w:line="560" w:lineRule="exact"/>
        <w:ind w:firstLine="628" w:firstLineChars="200"/>
        <w:textAlignment w:val="baseline"/>
        <w:rPr>
          <w:rFonts w:hint="eastAsia"/>
          <w:spacing w:val="-2"/>
          <w:sz w:val="24"/>
          <w:szCs w:val="24"/>
          <w:lang w:eastAsia="zh-CN"/>
        </w:rPr>
      </w:pPr>
      <w:r>
        <w:rPr>
          <w:rFonts w:hint="eastAsia" w:ascii="黑体" w:hAnsi="黑体" w:eastAsia="黑体" w:cs="黑体"/>
          <w:spacing w:val="-3"/>
          <w:sz w:val="32"/>
          <w:szCs w:val="32"/>
          <w:lang w:val="en-US" w:eastAsia="zh-CN"/>
        </w:rPr>
        <w:t>二、</w:t>
      </w:r>
      <w:r>
        <w:rPr>
          <w:rFonts w:hint="eastAsia" w:ascii="黑体" w:hAnsi="黑体" w:eastAsia="黑体" w:cs="黑体"/>
          <w:spacing w:val="-3"/>
          <w:sz w:val="32"/>
          <w:szCs w:val="32"/>
          <w:lang w:eastAsia="zh-CN"/>
        </w:rPr>
        <w:t>OV1风险加权资产概况</w:t>
      </w:r>
    </w:p>
    <w:p>
      <w:pPr>
        <w:keepNext w:val="0"/>
        <w:keepLines w:val="0"/>
        <w:pageBreakBefore w:val="0"/>
        <w:widowControl/>
        <w:numPr>
          <w:ilvl w:val="0"/>
          <w:numId w:val="0"/>
        </w:numPr>
        <w:tabs>
          <w:tab w:val="left" w:pos="2165"/>
        </w:tabs>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单位：人民币</w:t>
      </w:r>
      <w:r>
        <w:rPr>
          <w:rFonts w:hint="eastAsia" w:ascii="仿宋_GB2312" w:hAnsi="仿宋_GB2312" w:eastAsia="仿宋_GB2312" w:cs="仿宋_GB2312"/>
          <w:spacing w:val="-2"/>
          <w:sz w:val="28"/>
          <w:szCs w:val="28"/>
          <w:lang w:val="en-US" w:eastAsia="zh-CN"/>
        </w:rPr>
        <w:t xml:space="preserve">  </w:t>
      </w:r>
      <w:r>
        <w:rPr>
          <w:rFonts w:hint="eastAsia" w:ascii="仿宋_GB2312" w:hAnsi="仿宋_GB2312" w:eastAsia="仿宋_GB2312" w:cs="仿宋_GB2312"/>
          <w:spacing w:val="-2"/>
          <w:sz w:val="28"/>
          <w:szCs w:val="28"/>
        </w:rPr>
        <w:t>万元</w:t>
      </w:r>
    </w:p>
    <w:tbl>
      <w:tblPr>
        <w:tblStyle w:val="7"/>
        <w:tblpPr w:leftFromText="180" w:rightFromText="180" w:vertAnchor="text" w:horzAnchor="page" w:tblpXSpec="center" w:tblpY="304"/>
        <w:tblOverlap w:val="never"/>
        <w:tblW w:w="9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2715"/>
        <w:gridCol w:w="2160"/>
        <w:gridCol w:w="207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328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2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a</w:t>
            </w:r>
          </w:p>
        </w:tc>
        <w:tc>
          <w:tcPr>
            <w:tcW w:w="20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b</w:t>
            </w:r>
          </w:p>
        </w:tc>
        <w:tc>
          <w:tcPr>
            <w:tcW w:w="2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328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3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风险加权资产</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最低资本要求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328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2025年12月31日</w:t>
            </w:r>
          </w:p>
        </w:tc>
        <w:tc>
          <w:tcPr>
            <w:tcW w:w="20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2025年9月30日</w:t>
            </w:r>
          </w:p>
        </w:tc>
        <w:tc>
          <w:tcPr>
            <w:tcW w:w="2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7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信用风险</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 xml:space="preserve">4,424,777.33  </w:t>
            </w:r>
          </w:p>
        </w:tc>
        <w:tc>
          <w:tcPr>
            <w:tcW w:w="20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4,383,051.43  </w:t>
            </w:r>
          </w:p>
        </w:tc>
        <w:tc>
          <w:tcPr>
            <w:tcW w:w="2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353,982.19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7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市场风险</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 xml:space="preserve">6,685.37  </w:t>
            </w:r>
          </w:p>
        </w:tc>
        <w:tc>
          <w:tcPr>
            <w:tcW w:w="20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6,093.83  </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7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操作风险</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 xml:space="preserve">290,966.43  </w:t>
            </w:r>
          </w:p>
        </w:tc>
        <w:tc>
          <w:tcPr>
            <w:tcW w:w="20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295,076.18</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23,277.31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7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交易账簿和银行账簿间转换的资本要求</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0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0</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7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 xml:space="preserve">4,722,429.13  </w:t>
            </w:r>
          </w:p>
        </w:tc>
        <w:tc>
          <w:tcPr>
            <w:tcW w:w="20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4,684,221.44  </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377,794.33</w:t>
            </w:r>
          </w:p>
        </w:tc>
      </w:tr>
    </w:tbl>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outlineLvl w:val="1"/>
        <w:rPr>
          <w:rFonts w:hint="eastAsia" w:ascii="黑体" w:hAnsi="黑体" w:eastAsia="黑体" w:cs="黑体"/>
          <w:spacing w:val="-3"/>
          <w:sz w:val="32"/>
          <w:szCs w:val="32"/>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outlineLvl w:val="1"/>
        <w:rPr>
          <w:rFonts w:hint="eastAsia" w:ascii="黑体" w:hAnsi="黑体" w:eastAsia="黑体" w:cs="黑体"/>
          <w:spacing w:val="-3"/>
          <w:sz w:val="32"/>
          <w:szCs w:val="32"/>
          <w:lang w:eastAsia="zh-CN"/>
        </w:rPr>
        <w:sectPr>
          <w:pgSz w:w="11906" w:h="16839"/>
          <w:pgMar w:top="1701" w:right="1531" w:bottom="1701" w:left="1531" w:header="1077" w:footer="1077" w:gutter="0"/>
          <w:pgNumType w:fmt="numberInDash"/>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outlineLvl w:val="1"/>
        <w:rPr>
          <w:rFonts w:hint="eastAsia" w:ascii="黑体" w:hAnsi="黑体" w:eastAsia="黑体" w:cs="黑体"/>
          <w:spacing w:val="-3"/>
          <w:sz w:val="32"/>
          <w:szCs w:val="32"/>
          <w:lang w:eastAsia="zh-CN"/>
        </w:rPr>
      </w:pPr>
      <w:r>
        <w:rPr>
          <w:rFonts w:hint="eastAsia" w:ascii="黑体" w:hAnsi="黑体" w:eastAsia="黑体" w:cs="黑体"/>
          <w:spacing w:val="-3"/>
          <w:sz w:val="32"/>
          <w:szCs w:val="32"/>
          <w:lang w:eastAsia="zh-CN"/>
        </w:rPr>
        <w:t>三、表格CC1：资本构成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righ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单位：人民币</w:t>
      </w:r>
      <w:r>
        <w:rPr>
          <w:rFonts w:hint="eastAsia" w:ascii="仿宋_GB2312" w:hAnsi="仿宋_GB2312" w:eastAsia="仿宋_GB2312" w:cs="仿宋_GB2312"/>
          <w:spacing w:val="-3"/>
          <w:sz w:val="28"/>
          <w:szCs w:val="28"/>
          <w:lang w:val="en-US" w:eastAsia="zh-CN"/>
        </w:rPr>
        <w:t xml:space="preserve">  </w:t>
      </w:r>
      <w:r>
        <w:rPr>
          <w:rFonts w:hint="eastAsia" w:ascii="仿宋_GB2312" w:hAnsi="仿宋_GB2312" w:eastAsia="仿宋_GB2312" w:cs="仿宋_GB2312"/>
          <w:spacing w:val="-3"/>
          <w:sz w:val="28"/>
          <w:szCs w:val="28"/>
        </w:rPr>
        <w:t>万元</w:t>
      </w:r>
    </w:p>
    <w:tbl>
      <w:tblPr>
        <w:tblStyle w:val="7"/>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39"/>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8" w:type="dxa"/>
            <w:gridSpan w:val="2"/>
            <w:vMerge w:val="restart"/>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b/>
                <w:bCs/>
                <w:color w:val="000000" w:themeColor="text1"/>
                <w:sz w:val="20"/>
                <w:szCs w:val="20"/>
                <w:lang w:eastAsia="zh-CN"/>
                <w14:textFill>
                  <w14:solidFill>
                    <w14:schemeClr w14:val="tx1"/>
                  </w14:solidFill>
                </w14:textFill>
              </w:rPr>
            </w:pPr>
            <w:bookmarkStart w:id="0" w:name="OLE_LINK1"/>
            <w:r>
              <w:rPr>
                <w:rFonts w:hint="eastAsia" w:ascii="宋体" w:hAnsi="宋体" w:eastAsia="宋体" w:cs="宋体"/>
                <w:b/>
                <w:bCs/>
                <w:spacing w:val="-9"/>
                <w:sz w:val="20"/>
                <w:szCs w:val="20"/>
              </w:rPr>
              <w:t>项目</w:t>
            </w:r>
          </w:p>
        </w:tc>
        <w:tc>
          <w:tcPr>
            <w:tcW w:w="272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8" w:type="dxa"/>
            <w:gridSpan w:val="2"/>
            <w:vMerge w:val="continue"/>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color w:val="000000" w:themeColor="text1"/>
                <w:sz w:val="20"/>
                <w:szCs w:val="20"/>
                <w:lang w:eastAsia="zh-CN"/>
                <w14:textFill>
                  <w14:solidFill>
                    <w14:schemeClr w14:val="tx1"/>
                  </w14:solidFill>
                </w14:textFill>
              </w:rPr>
            </w:pPr>
          </w:p>
        </w:tc>
        <w:tc>
          <w:tcPr>
            <w:tcW w:w="2722"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default" w:ascii="宋体" w:hAnsi="宋体" w:eastAsia="宋体" w:cs="宋体"/>
                <w:b/>
                <w:bCs/>
                <w:spacing w:val="-2"/>
                <w:sz w:val="20"/>
                <w:szCs w:val="20"/>
                <w:lang w:val="en-US" w:eastAsia="zh-CN"/>
              </w:rPr>
            </w:pPr>
            <w:r>
              <w:rPr>
                <w:rFonts w:hint="eastAsia" w:ascii="宋体" w:hAnsi="宋体" w:eastAsia="宋体" w:cs="宋体"/>
                <w:b/>
                <w:bCs/>
                <w:spacing w:val="-2"/>
                <w:sz w:val="20"/>
                <w:szCs w:val="20"/>
                <w:lang w:val="en-US" w:eastAsia="zh-CN"/>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核心一级资本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实收资本和资本公积可计入部分</w:t>
            </w:r>
          </w:p>
        </w:tc>
        <w:tc>
          <w:tcPr>
            <w:tcW w:w="272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 xml:space="preserve">113,013.64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留存收益</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476,098.56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2a</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盈余公积</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firstLine="392" w:firstLineChars="20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68,395.58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2b</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一般风险准备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firstLine="196" w:firstLineChars="10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310,943.34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2c</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未分配利润</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firstLine="392" w:firstLineChars="20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96,759.64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累计其他综合收益</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-7,262.19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少数股东资本可计入部分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扣除前的核心一级资本</w:t>
            </w:r>
          </w:p>
        </w:tc>
        <w:tc>
          <w:tcPr>
            <w:tcW w:w="272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 xml:space="preserve">581,850.01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核心一级资本：扣除项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审慎估值调整</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7</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商誉（扣除递延税负债）</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8</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其他无形资产（土地使用权除外）（扣除递延税负债）</w:t>
            </w:r>
          </w:p>
        </w:tc>
        <w:tc>
          <w:tcPr>
            <w:tcW w:w="2722" w:type="dxa"/>
            <w:shd w:val="clear" w:color="auto" w:fill="auto"/>
            <w:vAlign w:val="center"/>
          </w:tcPr>
          <w:p>
            <w:pPr>
              <w:keepNext w:val="0"/>
              <w:keepLines w:val="0"/>
              <w:widowControl/>
              <w:suppressLineNumbers w:val="0"/>
              <w:jc w:val="right"/>
              <w:textAlignment w:val="center"/>
              <w:rPr>
                <w:rFonts w:hint="eastAsia" w:ascii="Times New Roman" w:hAnsi="Times New Roman" w:eastAsia="宋体" w:cs="Times New Roman"/>
                <w:i w:val="0"/>
                <w:iCs w:val="0"/>
                <w:snapToGrid w:val="0"/>
                <w:color w:val="000000"/>
                <w:sz w:val="20"/>
                <w:szCs w:val="20"/>
                <w:u w:val="none"/>
                <w:lang w:val="en-US" w:eastAsia="zh-CN" w:bidi="ar-SA"/>
              </w:rPr>
            </w:pPr>
            <w:r>
              <w:rPr>
                <w:rFonts w:hint="eastAsia" w:ascii="宋体" w:hAnsi="宋体" w:eastAsia="宋体" w:cs="宋体"/>
                <w:spacing w:val="-2"/>
                <w:sz w:val="20"/>
                <w:szCs w:val="20"/>
                <w:lang w:val="en-US" w:eastAsia="zh-CN"/>
              </w:rPr>
              <w:t>940.20</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9</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依赖未来盈利的由经营亏损引起的净递延税资产</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10</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对未按公允价值计量的项目进行套期形成的现金流储备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损失准备缺口</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12</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资产证券化销售利得</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13</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自身信用风险变化导致其负债公允价值变化带来的未实现损益</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14</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确定受益类的养老金资产净额（扣除递延税项负债）</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15</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直接或间接持有本银行的股票</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16</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银行间或银行与其他金融机构间通过协议相互持有的核心一级资本</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17</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对未并表金融机构小额少数资本投资中的核心一级资本中应扣除金额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18</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对未并表金融机构大额少数资本投资中的核心一级资本中应扣除金额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19</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其他依赖于银行未来盈利的净递延税资产中应扣除金额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20</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对未并表金融机构大额少数资本投资中的核心一级资本和其他依赖于银行未来盈利的净递延税资产的未扣除部分超过核心一级资本15%的应扣除金额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其中：应在对金融机构大额少数资本投资中扣除的金额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22</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其中：应在其他依赖于银行未来盈利的净递延税资产中扣除的金额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23</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其他应在核心一级资本中扣除的项目合计</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24</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应从其他一级资本和二级资本中扣除的未扣缺口</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25</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核心一级资本扣除项总和</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right"/>
              <w:textAlignment w:val="baseline"/>
              <w:rPr>
                <w:rFonts w:hint="eastAsia" w:ascii="Times New Roman" w:hAnsi="Times New Roman" w:eastAsia="宋体" w:cs="Times New Roman"/>
                <w:i w:val="0"/>
                <w:iCs w:val="0"/>
                <w:snapToGrid w:val="0"/>
                <w:color w:val="000000"/>
                <w:sz w:val="20"/>
                <w:szCs w:val="20"/>
                <w:u w:val="none"/>
                <w:lang w:val="en-US" w:eastAsia="zh-CN" w:bidi="ar-SA"/>
              </w:rPr>
            </w:pPr>
            <w:r>
              <w:rPr>
                <w:rFonts w:hint="eastAsia" w:ascii="宋体" w:hAnsi="宋体" w:eastAsia="宋体" w:cs="宋体"/>
                <w:spacing w:val="-2"/>
                <w:sz w:val="20"/>
                <w:szCs w:val="20"/>
                <w:lang w:val="en-US" w:eastAsia="zh-CN"/>
              </w:rPr>
              <w:t>940.20</w:t>
            </w:r>
            <w:r>
              <w:rPr>
                <w:rFonts w:hint="eastAsia" w:ascii="宋体" w:hAnsi="宋体" w:eastAsia="宋体" w:cs="宋体"/>
                <w:spacing w:val="-2"/>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26</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核心一级资本净额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580,909.81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其他一级资本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27</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其他一级资本工具及其溢价</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28</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其中：权益部分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29</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其中：负债部分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30</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少数股东资本可计入部分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扣除前的其他一级资本</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其他一级资本：扣除项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32</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直接或间接持有的本银行其他一级资本</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33</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银行间或银行与其他金融机构间通过协议相互持有的其他一级资本</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34</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对未并表金融机构小额少数资本投资中的其他一级资本中应扣除金额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35</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对未并表金融机构大额少数资本投资中的其他一级资本</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36</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其他应在其他一级资本中扣除的项目合计</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37</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应从二级资本中扣除的未扣缺口</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38</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其他一级资本扣除项总和</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39</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其他一级资本净额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40</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一级资本净额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630,909.81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b/>
                <w:bCs/>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二级资本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二级资本工具及其溢价</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42</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少数股东资本可计入部分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43</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超额损失准备可计入部分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 xml:space="preserve">54,626.88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44</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扣除前的二级资本</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 xml:space="preserve">54,626.88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二级资本：扣除项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45</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直接或间接持有的本银行的二级资本</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46</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银行间或银行与其他金融机构间通过协议相互持有的二级资本投资及TLAC非资本债务工具投资</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47</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对未并表金融机构小额少数资本投资中的二级资本应扣除金额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47a</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对未并表金融机构的小额投资中的TLAC非资本债务工具中应扣除金额（仅适用全球系统重要性银行）</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48</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对未并表金融机构大额少数资本投资中的二级资本应扣除金额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48a</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对未并表金融机构大额投资中的TLAC非资本债务工具中应扣除金额（仅适用全球系统重要性银行）</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49</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其他应在二级资本中扣除的项目合计</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50</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二级资本扣除项总和</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val="en-US" w:eastAsia="zh-CN"/>
              </w:rPr>
              <w:t>0</w:t>
            </w:r>
            <w:r>
              <w:rPr>
                <w:rFonts w:hint="eastAsia" w:ascii="宋体" w:hAnsi="宋体" w:eastAsia="宋体" w:cs="宋体"/>
                <w:spacing w:val="-2"/>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highlight w:val="none"/>
              </w:rPr>
            </w:pPr>
            <w:r>
              <w:rPr>
                <w:rFonts w:hint="eastAsia" w:ascii="宋体" w:hAnsi="宋体" w:eastAsia="宋体" w:cs="宋体"/>
                <w:spacing w:val="-2"/>
                <w:sz w:val="20"/>
                <w:szCs w:val="20"/>
                <w:highlight w:val="none"/>
              </w:rPr>
              <w:t>51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highlight w:val="none"/>
              </w:rPr>
            </w:pPr>
            <w:r>
              <w:rPr>
                <w:rFonts w:hint="eastAsia" w:ascii="宋体" w:hAnsi="宋体" w:eastAsia="宋体" w:cs="宋体"/>
                <w:b/>
                <w:bCs/>
                <w:spacing w:val="-2"/>
                <w:sz w:val="20"/>
                <w:szCs w:val="20"/>
                <w:highlight w:val="none"/>
              </w:rPr>
              <w:t>二级资本净额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54,626.88</w:t>
            </w:r>
            <w:r>
              <w:rPr>
                <w:rFonts w:hint="eastAsia" w:ascii="宋体" w:hAnsi="宋体" w:eastAsia="宋体" w:cs="宋体"/>
                <w:spacing w:val="-2"/>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52</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总资本净额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 xml:space="preserve">685,536.69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53</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风险加权资产</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4,722,429.13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资本充足率和其他各级资本要求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54</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核心一级资本充足率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val="en-US" w:eastAsia="zh-CN"/>
              </w:rPr>
              <w:t>12.30</w:t>
            </w:r>
            <w:r>
              <w:rPr>
                <w:rFonts w:hint="eastAsia" w:ascii="宋体" w:hAnsi="宋体" w:eastAsia="宋体" w:cs="宋体"/>
                <w:spacing w:val="-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55</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一级资本充足率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val="en-US" w:eastAsia="zh-CN"/>
              </w:rPr>
              <w:t>13.36</w:t>
            </w:r>
            <w:r>
              <w:rPr>
                <w:rFonts w:hint="eastAsia" w:ascii="宋体" w:hAnsi="宋体" w:eastAsia="宋体" w:cs="宋体"/>
                <w:spacing w:val="-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56</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rPr>
            </w:pPr>
            <w:r>
              <w:rPr>
                <w:rFonts w:hint="eastAsia" w:ascii="宋体" w:hAnsi="宋体" w:eastAsia="宋体" w:cs="宋体"/>
                <w:b/>
                <w:bCs/>
                <w:spacing w:val="-2"/>
                <w:sz w:val="20"/>
                <w:szCs w:val="20"/>
              </w:rPr>
              <w:t>资本充足率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val="en-US" w:eastAsia="zh-CN"/>
              </w:rPr>
              <w:t>14.52</w:t>
            </w:r>
            <w:r>
              <w:rPr>
                <w:rFonts w:hint="eastAsia" w:ascii="宋体" w:hAnsi="宋体" w:eastAsia="宋体" w:cs="宋体"/>
                <w:spacing w:val="-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57</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其他各级资本要求（%）</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58</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其中：储备资本要求</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59</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其中：逆周期资本要求</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60</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其中：全球系统重要性银行或国内系统重要性银行附加资本要求</w:t>
            </w:r>
          </w:p>
        </w:tc>
        <w:tc>
          <w:tcPr>
            <w:tcW w:w="2722" w:type="dxa"/>
            <w:shd w:val="clear" w:color="auto" w:fill="A5A5A5" w:themeFill="background1" w:themeFillShade="A6"/>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满足最低资本要求后的可用核心一级资本净额占风险加权资产的比例（%）</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val="en-US" w:eastAsia="zh-CN"/>
              </w:rPr>
              <w:t>6.52</w:t>
            </w:r>
            <w:r>
              <w:rPr>
                <w:rFonts w:hint="eastAsia" w:ascii="宋体" w:hAnsi="宋体" w:eastAsia="宋体" w:cs="宋体"/>
                <w:spacing w:val="-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napToGrid/>
                <w:color w:val="000000"/>
                <w:sz w:val="20"/>
                <w:szCs w:val="20"/>
                <w:shd w:val="clear" w:fill="D7D7D7" w:themeFill="background1" w:themeFillShade="D8"/>
                <w:lang w:val="en-US" w:eastAsia="zh-CN" w:bidi="ar-SA"/>
              </w:rPr>
              <w:t>我国最低监管资本要求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62</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核心一级资本充足率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63</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一级资本充足率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64</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资本充足率</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pacing w:val="-2"/>
                <w:sz w:val="20"/>
                <w:szCs w:val="20"/>
                <w:lang w:val="en-US" w:eastAsia="zh-CN"/>
              </w:rPr>
              <w:t>门槛扣除项中未扣除部分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65</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对未并表金融机构的小额少数资本投资中的未扣除部分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8,462.40</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65a</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对未并表金融机构的小额投资中的TLAC非资本债务工具未扣除部分（仅适用全球系统重要性银行）</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66</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对未并表金融机构的大额少数资本投资未扣除部分</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67</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其他依赖于银行未来盈利的净递延税资产（扣除递延税负债）</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rPr>
              <w:t xml:space="preserve">55,299.04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70" w:type="dxa"/>
            <w:gridSpan w:val="3"/>
            <w:shd w:val="clear" w:color="auto" w:fill="D7D7D7" w:themeFill="background1" w:themeFillShade="D8"/>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b/>
                <w:bCs/>
                <w:spacing w:val="-2"/>
                <w:sz w:val="20"/>
                <w:szCs w:val="20"/>
                <w:lang w:val="en-US" w:eastAsia="zh-CN"/>
              </w:rPr>
              <w:t>可计入二级资本的超额损失准备的限额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68</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权重法下，实际计提的超额损失准备金额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righ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 xml:space="preserve">192,716.62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69</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权重法下，可计入二级资本超额损失准备的数额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right"/>
              <w:textAlignment w:val="baseline"/>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rPr>
              <w:t xml:space="preserve">54,626.88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70</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内部评级法下，实际计提的超额损失准备金额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rPr>
            </w:pPr>
            <w:r>
              <w:rPr>
                <w:rFonts w:hint="eastAsia" w:ascii="宋体" w:hAnsi="宋体" w:eastAsia="宋体" w:cs="宋体"/>
                <w:spacing w:val="-2"/>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71</w:t>
            </w:r>
          </w:p>
        </w:tc>
        <w:tc>
          <w:tcPr>
            <w:tcW w:w="5239"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内部评级法下，可计入二级资本超额损失准备的数额</w:t>
            </w:r>
          </w:p>
        </w:tc>
        <w:tc>
          <w:tcPr>
            <w:tcW w:w="2722" w:type="dxa"/>
            <w:shd w:val="clear" w:color="auto" w:fill="auto"/>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right"/>
              <w:textAlignment w:val="baseline"/>
              <w:rPr>
                <w:rFonts w:hint="eastAsia" w:ascii="宋体" w:hAnsi="宋体" w:eastAsia="宋体" w:cs="宋体"/>
                <w:spacing w:val="-2"/>
                <w:sz w:val="20"/>
                <w:szCs w:val="20"/>
              </w:rPr>
            </w:pPr>
            <w:r>
              <w:rPr>
                <w:rFonts w:hint="eastAsia" w:ascii="宋体" w:hAnsi="宋体" w:eastAsia="宋体" w:cs="宋体"/>
                <w:spacing w:val="-2"/>
                <w:sz w:val="20"/>
                <w:szCs w:val="20"/>
                <w:lang w:eastAsia="zh-CN"/>
              </w:rPr>
              <w:t>不适用</w:t>
            </w:r>
          </w:p>
        </w:tc>
      </w:tr>
      <w:bookmarkEnd w:id="0"/>
    </w:tbl>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632" w:firstLineChars="200"/>
        <w:textAlignment w:val="baseline"/>
        <w:outlineLvl w:val="1"/>
        <w:rPr>
          <w:rFonts w:hint="eastAsia" w:ascii="黑体" w:hAnsi="黑体" w:eastAsia="黑体" w:cs="黑体"/>
          <w:spacing w:val="-2"/>
          <w:sz w:val="32"/>
          <w:szCs w:val="32"/>
          <w:lang w:val="en-US" w:eastAsia="zh-CN"/>
        </w:rPr>
        <w:sectPr>
          <w:pgSz w:w="11906" w:h="16839"/>
          <w:pgMar w:top="1701" w:right="1531" w:bottom="1701" w:left="1531" w:header="1077" w:footer="1077" w:gutter="0"/>
          <w:pgNumType w:fmt="numberInDash"/>
          <w:cols w:space="720" w:num="1"/>
        </w:sect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632" w:firstLineChars="200"/>
        <w:textAlignment w:val="baseline"/>
        <w:outlineLvl w:val="1"/>
        <w:rPr>
          <w:spacing w:val="-2"/>
          <w:lang w:eastAsia="zh-CN"/>
        </w:rPr>
      </w:pPr>
      <w:r>
        <w:rPr>
          <w:rFonts w:hint="eastAsia" w:ascii="黑体" w:hAnsi="黑体" w:eastAsia="黑体" w:cs="黑体"/>
          <w:spacing w:val="-2"/>
          <w:sz w:val="32"/>
          <w:szCs w:val="32"/>
          <w:lang w:val="en-US" w:eastAsia="zh-CN"/>
        </w:rPr>
        <w:t>四、</w:t>
      </w:r>
      <w:r>
        <w:rPr>
          <w:rFonts w:hint="eastAsia" w:ascii="黑体" w:hAnsi="黑体" w:eastAsia="黑体" w:cs="黑体"/>
          <w:spacing w:val="-2"/>
          <w:sz w:val="32"/>
          <w:szCs w:val="32"/>
          <w:lang w:eastAsia="zh-CN"/>
        </w:rPr>
        <w:t>LR1杠杆率监管项目与相关会计项目的差异</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单位：人民币</w:t>
      </w:r>
      <w:r>
        <w:rPr>
          <w:rFonts w:hint="eastAsia" w:ascii="仿宋_GB2312" w:hAnsi="仿宋_GB2312" w:eastAsia="仿宋_GB2312" w:cs="仿宋_GB2312"/>
          <w:spacing w:val="-3"/>
          <w:sz w:val="28"/>
          <w:szCs w:val="28"/>
          <w:lang w:val="en-US" w:eastAsia="zh-CN"/>
        </w:rPr>
        <w:t xml:space="preserve">  </w:t>
      </w:r>
      <w:r>
        <w:rPr>
          <w:rFonts w:hint="eastAsia" w:ascii="仿宋_GB2312" w:hAnsi="仿宋_GB2312" w:eastAsia="仿宋_GB2312" w:cs="仿宋_GB2312"/>
          <w:spacing w:val="-3"/>
          <w:sz w:val="28"/>
          <w:szCs w:val="28"/>
        </w:rPr>
        <w:t>万元</w:t>
      </w:r>
    </w:p>
    <w:tbl>
      <w:tblPr>
        <w:tblStyle w:val="7"/>
        <w:tblW w:w="89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287"/>
        <w:gridCol w:w="35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5367" w:type="dxa"/>
            <w:gridSpan w:val="2"/>
            <w:vMerge w:val="restart"/>
            <w:tcBorders>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540" w:type="dxa"/>
            <w:tcBorders>
              <w:left w:val="single" w:color="000000" w:sz="8" w:space="0"/>
              <w:bottom w:val="single" w:color="000000" w:sz="8" w:space="0"/>
            </w:tcBorders>
            <w:shd w:val="clear" w:color="auto" w:fill="auto"/>
            <w:noWrap/>
            <w:vAlign w:val="bottom"/>
          </w:tcPr>
          <w:p>
            <w:pPr>
              <w:keepNext w:val="0"/>
              <w:keepLines w:val="0"/>
              <w:widowControl/>
              <w:suppressLineNumbers w:val="0"/>
              <w:jc w:val="center"/>
              <w:textAlignment w:val="bottom"/>
              <w:rPr>
                <w:rFonts w:ascii="等线" w:hAnsi="等线" w:eastAsia="等线" w:cs="等线"/>
                <w:b/>
                <w:bCs/>
                <w:i w:val="0"/>
                <w:iCs w:val="0"/>
                <w:color w:val="000000"/>
                <w:sz w:val="22"/>
                <w:szCs w:val="22"/>
                <w:u w:val="none"/>
              </w:rPr>
            </w:pPr>
            <w:r>
              <w:rPr>
                <w:rFonts w:hint="eastAsia" w:ascii="等线" w:hAnsi="等线" w:eastAsia="等线" w:cs="等线"/>
                <w:b/>
                <w:bCs/>
                <w:i w:val="0"/>
                <w:iCs w:val="0"/>
                <w:snapToGrid w:val="0"/>
                <w:color w:val="000000"/>
                <w:kern w:val="0"/>
                <w:sz w:val="22"/>
                <w:szCs w:val="22"/>
                <w:u w:val="none"/>
                <w:lang w:val="en-US" w:eastAsia="zh-CN" w:bidi="ar"/>
              </w:rPr>
              <w: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367" w:type="dxa"/>
            <w:gridSpan w:val="2"/>
            <w:vMerge w:val="continue"/>
            <w:tcBorders>
              <w:top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540"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2025年12月31日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并表总资产</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7,790,065.27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并表调整项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客户资产调整项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衍生工具调整项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证券融资交易调整项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428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表外项目调整项</w:t>
            </w:r>
          </w:p>
        </w:tc>
        <w:tc>
          <w:tcPr>
            <w:tcW w:w="3540" w:type="dxa"/>
            <w:tcBorders>
              <w:top w:val="nil"/>
              <w:left w:val="single" w:color="000000" w:sz="8" w:space="0"/>
              <w:bottom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75,153.14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资产证券化交易调整项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未结算金融资产调整项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现金池调整项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存款准备金调整项（如有）</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审慎估值和减值准备调整项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其他调整项</w:t>
            </w:r>
          </w:p>
        </w:tc>
        <w:tc>
          <w:tcPr>
            <w:tcW w:w="3540"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-3,884.05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4287" w:type="dxa"/>
            <w:tcBorders>
              <w:top w:val="nil"/>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调整后表内外资产余额</w:t>
            </w:r>
          </w:p>
        </w:tc>
        <w:tc>
          <w:tcPr>
            <w:tcW w:w="3540" w:type="dxa"/>
            <w:tcBorders>
              <w:top w:val="nil"/>
              <w:left w:val="single" w:color="000000" w:sz="8" w:space="0"/>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7,861,334.35   </w:t>
            </w:r>
          </w:p>
        </w:tc>
      </w:tr>
    </w:tbl>
    <w:p>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right="0" w:firstLine="616" w:firstLineChars="200"/>
        <w:textAlignment w:val="baseline"/>
        <w:rPr>
          <w:rFonts w:hint="eastAsia" w:ascii="黑体" w:hAnsi="黑体" w:eastAsia="黑体" w:cs="黑体"/>
          <w:spacing w:val="-6"/>
          <w:sz w:val="32"/>
          <w:szCs w:val="32"/>
          <w:lang w:val="en-US" w:eastAsia="zh-CN"/>
        </w:rPr>
      </w:pPr>
    </w:p>
    <w:p>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right="0" w:firstLine="616" w:firstLineChars="200"/>
        <w:textAlignment w:val="baseline"/>
        <w:rPr>
          <w:rFonts w:hint="eastAsia" w:ascii="黑体" w:hAnsi="黑体" w:eastAsia="黑体" w:cs="黑体"/>
          <w:spacing w:val="-6"/>
          <w:sz w:val="32"/>
          <w:szCs w:val="32"/>
          <w:lang w:val="en-US" w:eastAsia="zh-CN"/>
        </w:rPr>
        <w:sectPr>
          <w:pgSz w:w="11906" w:h="16839"/>
          <w:pgMar w:top="1701" w:right="1531" w:bottom="1701" w:left="1531" w:header="1077" w:footer="1077" w:gutter="0"/>
          <w:pgNumType w:fmt="numberInDash"/>
          <w:cols w:space="720" w:num="1"/>
        </w:sectPr>
      </w:pPr>
    </w:p>
    <w:p>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right="0" w:firstLine="616" w:firstLineChars="200"/>
        <w:textAlignment w:val="baseline"/>
        <w:rPr>
          <w:rFonts w:hint="eastAsia" w:ascii="黑体" w:hAnsi="黑体" w:eastAsia="黑体" w:cs="黑体"/>
          <w:spacing w:val="-6"/>
          <w:sz w:val="32"/>
          <w:szCs w:val="32"/>
          <w:lang w:eastAsia="zh-CN"/>
        </w:rPr>
      </w:pPr>
      <w:r>
        <w:rPr>
          <w:rFonts w:hint="eastAsia" w:ascii="黑体" w:hAnsi="黑体" w:eastAsia="黑体" w:cs="黑体"/>
          <w:spacing w:val="-6"/>
          <w:sz w:val="32"/>
          <w:szCs w:val="32"/>
          <w:lang w:val="en-US" w:eastAsia="zh-CN"/>
        </w:rPr>
        <w:t>五、</w:t>
      </w:r>
      <w:r>
        <w:rPr>
          <w:rFonts w:hint="eastAsia" w:ascii="黑体" w:hAnsi="黑体" w:eastAsia="黑体" w:cs="黑体"/>
          <w:spacing w:val="-6"/>
          <w:sz w:val="32"/>
          <w:szCs w:val="32"/>
          <w:lang w:eastAsia="zh-CN"/>
        </w:rPr>
        <w:t>LR2杠杆率</w:t>
      </w:r>
    </w:p>
    <w:p>
      <w:pPr>
        <w:pStyle w:val="3"/>
        <w:keepNext w:val="0"/>
        <w:keepLines w:val="0"/>
        <w:pageBreakBefore w:val="0"/>
        <w:widowControl/>
        <w:kinsoku w:val="0"/>
        <w:wordWrap w:val="0"/>
        <w:overflowPunct/>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单位：人民币</w:t>
      </w:r>
      <w:r>
        <w:rPr>
          <w:rFonts w:hint="eastAsia" w:ascii="仿宋_GB2312" w:hAnsi="仿宋_GB2312" w:eastAsia="仿宋_GB2312" w:cs="仿宋_GB2312"/>
          <w:spacing w:val="-3"/>
          <w:sz w:val="28"/>
          <w:szCs w:val="28"/>
          <w:lang w:val="en-US" w:eastAsia="zh-CN"/>
        </w:rPr>
        <w:t xml:space="preserve">  </w:t>
      </w:r>
      <w:r>
        <w:rPr>
          <w:rFonts w:hint="eastAsia" w:ascii="仿宋_GB2312" w:hAnsi="仿宋_GB2312" w:eastAsia="仿宋_GB2312" w:cs="仿宋_GB2312"/>
          <w:spacing w:val="-3"/>
          <w:sz w:val="28"/>
          <w:szCs w:val="28"/>
          <w:lang w:eastAsia="zh-CN"/>
        </w:rPr>
        <w:t>万元</w:t>
      </w:r>
    </w:p>
    <w:tbl>
      <w:tblPr>
        <w:tblStyle w:val="7"/>
        <w:tblW w:w="9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125"/>
        <w:gridCol w:w="238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20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238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等线" w:hAnsi="等线" w:eastAsia="等线" w:cs="等线"/>
                <w:b/>
                <w:bCs/>
                <w:i w:val="0"/>
                <w:iCs w:val="0"/>
                <w:color w:val="000000"/>
                <w:sz w:val="22"/>
                <w:szCs w:val="22"/>
                <w:u w:val="none"/>
              </w:rPr>
            </w:pPr>
            <w:r>
              <w:rPr>
                <w:rFonts w:hint="eastAsia" w:ascii="等线" w:hAnsi="等线" w:eastAsia="等线" w:cs="等线"/>
                <w:b/>
                <w:bCs/>
                <w:i w:val="0"/>
                <w:iCs w:val="0"/>
                <w:snapToGrid w:val="0"/>
                <w:color w:val="000000"/>
                <w:kern w:val="0"/>
                <w:sz w:val="22"/>
                <w:szCs w:val="22"/>
                <w:u w:val="none"/>
                <w:lang w:val="en-US" w:eastAsia="zh-CN" w:bidi="ar"/>
              </w:rPr>
              <w:t>a</w:t>
            </w:r>
          </w:p>
        </w:tc>
        <w:tc>
          <w:tcPr>
            <w:tcW w:w="222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snapToGrid w:val="0"/>
                <w:color w:val="000000"/>
                <w:kern w:val="0"/>
                <w:sz w:val="22"/>
                <w:szCs w:val="22"/>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20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2025年12月31日</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2025年9月30日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810" w:type="dxa"/>
            <w:gridSpan w:val="4"/>
            <w:tcBorders>
              <w:top w:val="nil"/>
              <w:left w:val="single" w:color="000000" w:sz="8" w:space="0"/>
              <w:bottom w:val="single" w:color="000000" w:sz="8" w:space="0"/>
              <w:right w:val="single" w:color="000000" w:sz="8" w:space="0"/>
            </w:tcBorders>
            <w:shd w:val="clear" w:color="auto" w:fill="A6A6A6"/>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表内资产余额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4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表内资产（除衍生工具和证券融资交易外）</w:t>
            </w: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8,029,570.85 </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8,000,290.50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减：减值准备</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 xml:space="preserve">239,505.58 </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-246,899.05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减：一级资本扣除项</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-940.20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-982.76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调整后的表内资产余额（衍生工具和证券融资交易除外）</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7,789,125.07 </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7,752,408.69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10" w:type="dxa"/>
            <w:gridSpan w:val="4"/>
            <w:tcBorders>
              <w:top w:val="nil"/>
              <w:left w:val="single" w:color="000000" w:sz="8" w:space="0"/>
              <w:bottom w:val="single" w:color="000000" w:sz="8" w:space="0"/>
              <w:right w:val="single" w:color="000000" w:sz="8" w:space="0"/>
            </w:tcBorders>
            <w:shd w:val="clear" w:color="auto" w:fill="A6A6A6"/>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衍生工具资产余额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4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各类衍生工具的重置成本（扣除合格保证金，考虑双边净额结算协议的影响）</w:t>
            </w: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各类衍生工具的潜在风险暴露</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已从资产负债表中扣除的抵质押品总和</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减：因提供合格保证金形成的应收资产</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减：为客户提供清算服务时与中央交易对手交易形成的衍生工具资产余额</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卖出信用衍生工具的名义本金</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减：可扣除的卖出信用衍生工具资产余额</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衍生工具资产余额</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810" w:type="dxa"/>
            <w:gridSpan w:val="4"/>
            <w:tcBorders>
              <w:top w:val="nil"/>
              <w:left w:val="single" w:color="000000" w:sz="8" w:space="0"/>
              <w:bottom w:val="single" w:color="000000" w:sz="8" w:space="0"/>
              <w:right w:val="single" w:color="000000" w:sz="8" w:space="0"/>
            </w:tcBorders>
            <w:shd w:val="clear" w:color="auto" w:fill="A6A6A6"/>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证券融资交易资产余额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4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证券融资交易的会计资产余额</w:t>
            </w: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减：可以扣除的证券融资交易资产余额</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证券融资交易的交易对手信用风险暴露</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代理证券融资交易形成的证券融资交易资产余额</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证券融资交易资产余额</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810" w:type="dxa"/>
            <w:gridSpan w:val="4"/>
            <w:tcBorders>
              <w:top w:val="nil"/>
              <w:left w:val="single" w:color="000000" w:sz="8" w:space="0"/>
              <w:bottom w:val="single" w:color="000000" w:sz="8" w:space="0"/>
              <w:right w:val="single" w:color="000000" w:sz="8" w:space="0"/>
            </w:tcBorders>
            <w:shd w:val="clear" w:color="auto" w:fill="A6A6A6"/>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表外项目余额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4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表外项目余额</w:t>
            </w: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 xml:space="preserve">204,620.62 </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222,511.20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412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减：因信用转换调整的表外项目余额</w:t>
            </w:r>
          </w:p>
        </w:tc>
        <w:tc>
          <w:tcPr>
            <w:tcW w:w="238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 xml:space="preserve">129,467.48 </w:t>
            </w:r>
          </w:p>
        </w:tc>
        <w:tc>
          <w:tcPr>
            <w:tcW w:w="2220"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-140,670.16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412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减：减值准备</w:t>
            </w:r>
          </w:p>
        </w:tc>
        <w:tc>
          <w:tcPr>
            <w:tcW w:w="238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 xml:space="preserve">-2,943.85 </w:t>
            </w:r>
          </w:p>
        </w:tc>
        <w:tc>
          <w:tcPr>
            <w:tcW w:w="2220"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-3,025.82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412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调整后的表外项目余额</w:t>
            </w:r>
          </w:p>
        </w:tc>
        <w:tc>
          <w:tcPr>
            <w:tcW w:w="238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imes New Roman" w:hAnsi="Times New Roman" w:cs="Times New Roman" w:eastAsiaTheme="minorEastAsia"/>
                <w:i w:val="0"/>
                <w:iCs w:val="0"/>
                <w:snapToGrid w:val="0"/>
                <w:color w:val="000000"/>
                <w:sz w:val="20"/>
                <w:szCs w:val="20"/>
                <w:u w:val="none"/>
                <w:lang w:val="en-US" w:eastAsia="en-US" w:bidi="ar-SA"/>
              </w:rPr>
            </w:pPr>
            <w:r>
              <w:rPr>
                <w:rFonts w:hint="default" w:ascii="宋体" w:hAnsi="宋体" w:eastAsia="宋体" w:cs="宋体"/>
                <w:i w:val="0"/>
                <w:iCs w:val="0"/>
                <w:snapToGrid w:val="0"/>
                <w:color w:val="000000"/>
                <w:kern w:val="0"/>
                <w:sz w:val="20"/>
                <w:szCs w:val="20"/>
                <w:u w:val="none"/>
                <w:lang w:val="en-US" w:eastAsia="zh-CN" w:bidi="ar"/>
              </w:rPr>
              <w:t xml:space="preserve">72,209.28 </w:t>
            </w:r>
          </w:p>
        </w:tc>
        <w:tc>
          <w:tcPr>
            <w:tcW w:w="222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78,815.22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810" w:type="dxa"/>
            <w:gridSpan w:val="4"/>
            <w:tcBorders>
              <w:top w:val="nil"/>
              <w:left w:val="single" w:color="000000" w:sz="8" w:space="0"/>
              <w:bottom w:val="single" w:color="000000" w:sz="8" w:space="0"/>
              <w:right w:val="single" w:color="000000" w:sz="8" w:space="0"/>
            </w:tcBorders>
            <w:shd w:val="clear" w:color="auto" w:fill="A6A6A6"/>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一级资本净额和调整后表内外资产余额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4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一级资本净额</w:t>
            </w: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630,909.81 </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586,134.46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调整后表内外资产余额</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7,861,334.35 </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 xml:space="preserve">7,831,223.91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810" w:type="dxa"/>
            <w:gridSpan w:val="4"/>
            <w:tcBorders>
              <w:top w:val="nil"/>
              <w:left w:val="single" w:color="000000" w:sz="8" w:space="0"/>
              <w:bottom w:val="single" w:color="000000" w:sz="8" w:space="0"/>
              <w:right w:val="single" w:color="000000" w:sz="8" w:space="0"/>
            </w:tcBorders>
            <w:shd w:val="clear" w:color="auto" w:fill="A6A6A6"/>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41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杠杆率</w:t>
            </w:r>
          </w:p>
        </w:tc>
        <w:tc>
          <w:tcPr>
            <w:tcW w:w="23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8.03%</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highlight w:val="none"/>
                <w:u w:val="none"/>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24a</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杠杆率a</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8.03%</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highlight w:val="none"/>
                <w:u w:val="none"/>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4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最低杠杆率要求</w:t>
            </w:r>
          </w:p>
        </w:tc>
        <w:tc>
          <w:tcPr>
            <w:tcW w:w="23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22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4%</w:t>
            </w:r>
          </w:p>
        </w:tc>
      </w:tr>
    </w:tbl>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3"/>
          <w:sz w:val="28"/>
          <w:szCs w:val="28"/>
          <w:lang w:eastAsia="zh-CN"/>
        </w:rPr>
      </w:pPr>
    </w:p>
    <w:p/>
    <w:sectPr>
      <w:pgSz w:w="11906" w:h="16839"/>
      <w:pgMar w:top="1701" w:right="1531" w:bottom="1701" w:left="1531" w:header="1077" w:footer="107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172A27"/>
    <w:rsid w:val="0002244D"/>
    <w:rsid w:val="00036222"/>
    <w:rsid w:val="000856E5"/>
    <w:rsid w:val="000861C0"/>
    <w:rsid w:val="0009660B"/>
    <w:rsid w:val="000A5635"/>
    <w:rsid w:val="000C3A21"/>
    <w:rsid w:val="00106B57"/>
    <w:rsid w:val="00107C0A"/>
    <w:rsid w:val="00157A78"/>
    <w:rsid w:val="0016425C"/>
    <w:rsid w:val="00183CA4"/>
    <w:rsid w:val="00183D3A"/>
    <w:rsid w:val="001925E8"/>
    <w:rsid w:val="001B36B9"/>
    <w:rsid w:val="00215590"/>
    <w:rsid w:val="00297E87"/>
    <w:rsid w:val="002A2AB2"/>
    <w:rsid w:val="002A669F"/>
    <w:rsid w:val="002B5014"/>
    <w:rsid w:val="0030208E"/>
    <w:rsid w:val="00326323"/>
    <w:rsid w:val="00393DC3"/>
    <w:rsid w:val="003B0C6C"/>
    <w:rsid w:val="003F0D0F"/>
    <w:rsid w:val="003F21B5"/>
    <w:rsid w:val="003F2699"/>
    <w:rsid w:val="00434E6D"/>
    <w:rsid w:val="00436216"/>
    <w:rsid w:val="004B1ABA"/>
    <w:rsid w:val="004D51F8"/>
    <w:rsid w:val="00544216"/>
    <w:rsid w:val="005C3518"/>
    <w:rsid w:val="005E2EE1"/>
    <w:rsid w:val="005E6D8A"/>
    <w:rsid w:val="00623B45"/>
    <w:rsid w:val="0064370B"/>
    <w:rsid w:val="00696D88"/>
    <w:rsid w:val="006B77D3"/>
    <w:rsid w:val="00775E49"/>
    <w:rsid w:val="00792D92"/>
    <w:rsid w:val="007D3243"/>
    <w:rsid w:val="007D5219"/>
    <w:rsid w:val="00813A4E"/>
    <w:rsid w:val="00832579"/>
    <w:rsid w:val="00832C80"/>
    <w:rsid w:val="00856FFD"/>
    <w:rsid w:val="00876463"/>
    <w:rsid w:val="00891C42"/>
    <w:rsid w:val="008B7F7F"/>
    <w:rsid w:val="008F72A2"/>
    <w:rsid w:val="00903333"/>
    <w:rsid w:val="009434FD"/>
    <w:rsid w:val="00953401"/>
    <w:rsid w:val="00953461"/>
    <w:rsid w:val="009730A4"/>
    <w:rsid w:val="00993B8D"/>
    <w:rsid w:val="00A9660A"/>
    <w:rsid w:val="00AD641C"/>
    <w:rsid w:val="00B6049D"/>
    <w:rsid w:val="00BE6BFA"/>
    <w:rsid w:val="00C1467B"/>
    <w:rsid w:val="00C26D5D"/>
    <w:rsid w:val="00CA5F5C"/>
    <w:rsid w:val="00CA649E"/>
    <w:rsid w:val="00CD21D5"/>
    <w:rsid w:val="00CE7A70"/>
    <w:rsid w:val="00D21C12"/>
    <w:rsid w:val="00DD1B67"/>
    <w:rsid w:val="00DF31FF"/>
    <w:rsid w:val="00E03EBD"/>
    <w:rsid w:val="00E16827"/>
    <w:rsid w:val="00E53707"/>
    <w:rsid w:val="00E91669"/>
    <w:rsid w:val="00F31237"/>
    <w:rsid w:val="00F729C1"/>
    <w:rsid w:val="02B240F8"/>
    <w:rsid w:val="03355EA0"/>
    <w:rsid w:val="0424592B"/>
    <w:rsid w:val="043E2986"/>
    <w:rsid w:val="05420F2F"/>
    <w:rsid w:val="080C22B4"/>
    <w:rsid w:val="0A4A4EBF"/>
    <w:rsid w:val="0D0F5C7C"/>
    <w:rsid w:val="0D5F601E"/>
    <w:rsid w:val="12BA50D4"/>
    <w:rsid w:val="14240970"/>
    <w:rsid w:val="18B17627"/>
    <w:rsid w:val="1B096F9A"/>
    <w:rsid w:val="274E038B"/>
    <w:rsid w:val="2972652F"/>
    <w:rsid w:val="2A1078C9"/>
    <w:rsid w:val="2B305A68"/>
    <w:rsid w:val="2C1617D8"/>
    <w:rsid w:val="34295D1F"/>
    <w:rsid w:val="34CF5F34"/>
    <w:rsid w:val="352F2F84"/>
    <w:rsid w:val="368807F8"/>
    <w:rsid w:val="3D7B6A6D"/>
    <w:rsid w:val="3EFF3F35"/>
    <w:rsid w:val="42FC7560"/>
    <w:rsid w:val="451530DD"/>
    <w:rsid w:val="47325894"/>
    <w:rsid w:val="4C2D3153"/>
    <w:rsid w:val="4C966935"/>
    <w:rsid w:val="4E9A3D2E"/>
    <w:rsid w:val="50BD569F"/>
    <w:rsid w:val="5141159C"/>
    <w:rsid w:val="5C227DB6"/>
    <w:rsid w:val="61D41F69"/>
    <w:rsid w:val="6362791F"/>
    <w:rsid w:val="6A392A92"/>
    <w:rsid w:val="6E8C3925"/>
    <w:rsid w:val="732112E1"/>
    <w:rsid w:val="735F6851"/>
    <w:rsid w:val="74C40752"/>
    <w:rsid w:val="76CA3AA5"/>
    <w:rsid w:val="78BD7828"/>
    <w:rsid w:val="7B171837"/>
    <w:rsid w:val="7D346997"/>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0"/>
      <w:szCs w:val="3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452</Words>
  <Characters>2581</Characters>
  <Lines>21</Lines>
  <Paragraphs>6</Paragraphs>
  <TotalTime>0</TotalTime>
  <ScaleCrop>false</ScaleCrop>
  <LinksUpToDate>false</LinksUpToDate>
  <CharactersWithSpaces>3027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2024-04-30T13:49:00Z</dcterms:created>
  <dc:creator>user</dc:creator>
  <cp:lastModifiedBy>黯殤</cp:lastModifiedBy>
  <cp:lastPrinted>2024-07-15T08:43:00Z</cp:lastPrinted>
  <dcterms:modified xsi:type="dcterms:W3CDTF">2026-04-15T08:08:41Z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2024-06-14T14:51:10Z</vt:filetime>
  </property>
  <property fmtid="{D5CDD505-2E9C-101B-9397-08002B2CF9AE}" pid="4" name="KSOProductBuildVer">
    <vt:lpwstr>2052-11.8.2.11813</vt:lpwstr>
  </property>
  <property fmtid="{D5CDD505-2E9C-101B-9397-08002B2CF9AE}" pid="5" name="ICV">
    <vt:lpwstr>26EE8185E2E540C5B84EB5A30F993B57</vt:lpwstr>
  </property>
</Properties>
</file>