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e382741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e382741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e382741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203天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e382741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e382741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e382741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e382741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e382741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e382741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e382741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e382741f"/>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b0638f54"/>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b0638f54"/>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d5905915"/>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南银理财珠联璧合鑫逸稳半年136期封闭式公募人民币理财产品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ZZ700322500390</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Z7003225000259(投资者可依据该编码在中国理财网www.chinawealth.com.cn查询理财产品相关信息）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A份额：Y70136</w:t>
            </w:r>
          </w:p>
          <w:p>
            <w:pPr>
              <w:pStyle w:val="null10"/>
              <w:spacing w:lineRule="exact" w:line="200"/>
            </w:pPr>
            <w:r>
              <w:rPr>
                <w:rFonts w:ascii="方正黑体_GBK" w:hAnsi="方正黑体_GBK" w:cs="宋体" w:eastAsia="方正黑体_GBK"/>
                <w:sz w:val="18"/>
                <w:szCs w:val="18"/>
              </w:rPr>
              <w:t>B份额：Y71136</w:t>
            </w:r>
          </w:p>
          <w:p>
            <w:pPr>
              <w:pStyle w:val="null10"/>
              <w:spacing w:lineRule="exact" w:line="200"/>
            </w:pPr>
            <w:r>
              <w:rPr>
                <w:rFonts w:ascii="方正黑体_GBK" w:hAnsi="方正黑体_GBK" w:cs="宋体" w:eastAsia="方正黑体_GBK"/>
                <w:sz w:val="18"/>
                <w:szCs w:val="18"/>
              </w:rPr>
              <w:t>C份额：Y72136</w:t>
            </w:r>
          </w:p>
          <w:p>
            <w:pPr>
              <w:pStyle w:val="null10"/>
              <w:spacing w:lineRule="exact" w:line="200"/>
            </w:pPr>
            <w:r>
              <w:rPr>
                <w:rFonts w:ascii="方正黑体_GBK" w:hAnsi="方正黑体_GBK" w:cs="宋体" w:eastAsia="方正黑体_GBK"/>
                <w:sz w:val="18"/>
                <w:szCs w:val="18"/>
              </w:rPr>
              <w:t>D份额：Y73136</w:t>
            </w:r>
          </w:p>
          <w:p>
            <w:pPr>
              <w:pStyle w:val="null10"/>
              <w:spacing w:lineRule="exact" w:line="200"/>
            </w:pPr>
            <w:r>
              <w:rPr>
                <w:rFonts w:ascii="方正黑体_GBK" w:hAnsi="方正黑体_GBK" w:cs="宋体" w:eastAsia="方正黑体_GBK"/>
                <w:sz w:val="18"/>
                <w:szCs w:val="18"/>
              </w:rPr>
              <w:t>F份额：Y75136</w:t>
            </w:r>
          </w:p>
          <w:p>
            <w:pPr>
              <w:pStyle w:val="null10"/>
              <w:spacing w:lineRule="exact" w:line="200"/>
            </w:pPr>
            <w:r>
              <w:rPr>
                <w:rFonts w:ascii="方正黑体_GBK" w:hAnsi="方正黑体_GBK" w:cs="宋体" w:eastAsia="方正黑体_GBK"/>
                <w:sz w:val="18"/>
                <w:szCs w:val="18"/>
              </w:rPr>
              <w:t>G份额：Y76136</w:t>
            </w:r>
          </w:p>
          <w:p>
            <w:pPr>
              <w:pStyle w:val="null10"/>
              <w:spacing w:lineRule="exact" w:line="200"/>
            </w:pPr>
            <w:r>
              <w:rPr>
                <w:rFonts w:ascii="方正黑体_GBK" w:hAnsi="方正黑体_GBK" w:cs="宋体" w:eastAsia="方正黑体_GBK"/>
                <w:sz w:val="18"/>
                <w:szCs w:val="18"/>
              </w:rPr>
              <w:t>J份额：Y79136</w:t>
            </w:r>
          </w:p>
          <w:p>
            <w:pPr>
              <w:pStyle w:val="null10"/>
              <w:spacing w:lineRule="exact" w:line="200"/>
            </w:pPr>
            <w:r>
              <w:rPr>
                <w:rFonts w:ascii="方正黑体_GBK" w:hAnsi="方正黑体_GBK" w:cs="宋体" w:eastAsia="方正黑体_GBK"/>
                <w:sz w:val="18"/>
                <w:szCs w:val="18"/>
              </w:rPr>
              <w:t>L份额：YB70136</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除B、C、D、F、G、J、L份额以外的所有客户（详见“销售机构”条款）。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)、徽商银行股份有限公司( 大众客群)、杭州银行股份有限公司( 大众客群)、温州银行股份有限公司、江苏张家港农村商业银行股份有限公司( 所有客户)、烟台银行股份有限公司(工会卡 )、浙江民泰商业银行股份有限公司、广州银行股份有限公司、江苏常熟农村商业银行股份有限公司(专属客户)、江苏苏州农村商业银行股份有限公司( 专属客户)、江苏江南农村商业银行股份有限公司(财富客户)、珠海华润银行股份有限公司、秦皇岛银行股份有限公司、齐鲁银行股份有限公司(政务服务中心支行开业专享)、甘肃银行股份有限公司、台州银行股份有限公司(普通客群)、天津农村商业银行股份有限公司(滨海分行专属)、中原银行股份有限公司(县域客群专属)、乌鲁木齐银行股份有限公司、桂林银行股份有限公司(常规客户)、宁波通商银行股份有限公司(零售客群)、石嘴山银行股份有限公司( 分行特供)、江苏镇江农村商业银行股份有限公司( 20万元起购)、江苏如皋农村商业银行股份有限公司(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财富客群)、江苏紫金农村商业银行股份有限公司、江苏沛县农村商业银行股份有限公司、江苏仪征农村商业银行股份有限公司(20万元起购 )。</w:t>
            </w:r>
          </w:p>
          <w:p>
            <w:pPr>
              <w:pStyle w:val="null10"/>
              <w:spacing w:lineRule="exact" w:line="200"/>
            </w:pPr>
            <w:r>
              <w:rPr>
                <w:rFonts w:ascii="方正黑体_GBK" w:hAnsi="方正黑体_GBK" w:cs="宋体" w:eastAsia="方正黑体_GBK"/>
                <w:sz w:val="18"/>
                <w:szCs w:val="18"/>
              </w:rPr>
              <w:t>C份额：青岛银行股份有限公司( 私行客户)、徽商银行股份有限公司(特定分行专享)、杭州银行股份有限公司( 私行客群)、四川天府银行股份有限公司( 新客新资金客户)、江苏张家港农村商业银行股份有限公司(特定客户)、江苏江南农村商业银行股份有限公司(私享客户)、蒙商银行股份有限公司(特邀客户)、郑州银行股份有限公司、吉林银行股份有限公司、台州银行股份有限公司( 新客专享)、天津农村商业银行股份有限公司(军人客户)、山西银行股份有限公司(10万元起购)、兰州银行股份有限公司、桂林银行股份有限公司( 特供客户)、宁波通商银行股份有限公司( 专项客群)、江苏泰兴农村商业银行股份有限公司、江苏响水农村商业银行股份有限公司(起点金额50万)、江苏靖江农村商业银行股份有限公司、江苏大丰农村商业银行股份有限公司( 私行特邀客户)、江苏镇江农村商业银行股份有限公司(100万元起购)、江苏滨海农村商业银行股份有限公司、江苏射阳农村商业银行股份有限公司、江苏如东农村商业银行股份有限公司、江苏仪征农村商业银行股份有限公司(50万元起购 )。</w:t>
            </w:r>
          </w:p>
          <w:p>
            <w:pPr>
              <w:pStyle w:val="null10"/>
              <w:spacing w:lineRule="exact" w:line="200"/>
            </w:pPr>
            <w:r>
              <w:rPr>
                <w:rFonts w:ascii="方正黑体_GBK" w:hAnsi="方正黑体_GBK" w:cs="宋体" w:eastAsia="方正黑体_GBK"/>
                <w:sz w:val="18"/>
                <w:szCs w:val="18"/>
              </w:rPr>
              <w:t>D份额：天津农村商业银行股份有限公司( 新客户)、宁波通商银行股份有限公司(对公客群)。</w:t>
            </w:r>
          </w:p>
          <w:p>
            <w:pPr>
              <w:pStyle w:val="null10"/>
              <w:spacing w:lineRule="exact" w:line="200"/>
            </w:pPr>
            <w:r>
              <w:rPr>
                <w:rFonts w:ascii="方正黑体_GBK" w:hAnsi="方正黑体_GBK" w:cs="宋体" w:eastAsia="方正黑体_GBK"/>
                <w:sz w:val="18"/>
                <w:szCs w:val="18"/>
              </w:rPr>
              <w:t>F份额：兴业银行股份有限公司(普通客户)。</w:t>
            </w:r>
          </w:p>
          <w:p>
            <w:pPr>
              <w:pStyle w:val="null10"/>
              <w:spacing w:lineRule="exact" w:line="200"/>
            </w:pPr>
            <w:r>
              <w:rPr>
                <w:rFonts w:ascii="方正黑体_GBK" w:hAnsi="方正黑体_GBK" w:cs="宋体" w:eastAsia="方正黑体_GBK"/>
                <w:sz w:val="18"/>
                <w:szCs w:val="18"/>
              </w:rPr>
              <w:t>G份额：兴业银行股份有限公司( 新客户)。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L份额：江苏江南农村商业银行股份有限公司(高净值客户专属份额)、天津农村商业银行股份有限公司( 私行客群)、江苏兴化农村商业银行股份有限公司。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A份额/B份额/C份额/D份额/F份额/G份额/J份额/L份额：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A份额/B份额/C份额/D份额/F份额/G份额/J份额/L份额：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2025年07月30日 09:00—2025年08月05日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2025年08月06日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2025年08月06日—实际到期日（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203天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2026年02月25日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(2) 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(3) 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(4) 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 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 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(8) 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(9) 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(10) 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(11) 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(12) 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(13) 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(14) 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(15) 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 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A份额：业绩比较基准为2.38%(年化)。</w:t>
            </w:r>
          </w:p>
          <w:p>
            <w:pPr>
              <w:pStyle w:val="null10"/>
              <w:spacing w:lineRule="exact" w:line="200"/>
            </w:pPr>
            <w:r>
              <w:rPr>
                <w:rFonts w:ascii="方正黑体_GBK" w:hAnsi="方正黑体_GBK" w:cs="宋体" w:eastAsia="方正黑体_GBK"/>
                <w:sz w:val="18"/>
                <w:szCs w:val="18"/>
              </w:rPr>
              <w:t>B份额：业绩比较基准为2.48%(年化)。</w:t>
            </w:r>
          </w:p>
          <w:p>
            <w:pPr>
              <w:pStyle w:val="null10"/>
              <w:spacing w:lineRule="exact" w:line="200"/>
            </w:pPr>
            <w:r>
              <w:rPr>
                <w:rFonts w:ascii="方正黑体_GBK" w:hAnsi="方正黑体_GBK" w:cs="宋体" w:eastAsia="方正黑体_GBK"/>
                <w:sz w:val="18"/>
                <w:szCs w:val="18"/>
              </w:rPr>
              <w:t>C份额：业绩比较基准为2.58%(年化)。</w:t>
            </w:r>
          </w:p>
          <w:p>
            <w:pPr>
              <w:pStyle w:val="null10"/>
              <w:spacing w:lineRule="exact" w:line="200"/>
            </w:pPr>
            <w:r>
              <w:rPr>
                <w:rFonts w:ascii="方正黑体_GBK" w:hAnsi="方正黑体_GBK" w:cs="宋体" w:eastAsia="方正黑体_GBK"/>
                <w:sz w:val="18"/>
                <w:szCs w:val="18"/>
              </w:rPr>
              <w:t>D份额：业绩比较基准为2.68%(年化)。</w:t>
            </w:r>
          </w:p>
          <w:p>
            <w:pPr>
              <w:pStyle w:val="null10"/>
              <w:spacing w:lineRule="exact" w:line="200"/>
            </w:pPr>
            <w:r>
              <w:rPr>
                <w:rFonts w:ascii="方正黑体_GBK" w:hAnsi="方正黑体_GBK" w:cs="宋体" w:eastAsia="方正黑体_GBK"/>
                <w:sz w:val="18"/>
                <w:szCs w:val="18"/>
              </w:rPr>
              <w:t>F份额：业绩比较基准为2.43%(年化)。</w:t>
            </w:r>
          </w:p>
          <w:p>
            <w:pPr>
              <w:pStyle w:val="null10"/>
              <w:spacing w:lineRule="exact" w:line="200"/>
            </w:pPr>
            <w:r>
              <w:rPr>
                <w:rFonts w:ascii="方正黑体_GBK" w:hAnsi="方正黑体_GBK" w:cs="宋体" w:eastAsia="方正黑体_GBK"/>
                <w:sz w:val="18"/>
                <w:szCs w:val="18"/>
              </w:rPr>
              <w:t>G份额：业绩比较基准为2.48%(年化)。</w:t>
            </w:r>
          </w:p>
          <w:p>
            <w:pPr>
              <w:pStyle w:val="null10"/>
              <w:spacing w:lineRule="exact" w:line="200"/>
            </w:pPr>
            <w:r>
              <w:rPr>
                <w:rFonts w:ascii="方正黑体_GBK" w:hAnsi="方正黑体_GBK" w:cs="宋体" w:eastAsia="方正黑体_GBK"/>
                <w:sz w:val="18"/>
                <w:szCs w:val="18"/>
              </w:rPr>
              <w:t>J份额：业绩比较基准为2.38%(年化)。</w:t>
            </w:r>
          </w:p>
          <w:p>
            <w:pPr>
              <w:pStyle w:val="null10"/>
              <w:spacing w:lineRule="exact" w:line="200"/>
            </w:pPr>
            <w:r>
              <w:rPr>
                <w:rFonts w:ascii="方正黑体_GBK" w:hAnsi="方正黑体_GBK" w:cs="宋体" w:eastAsia="方正黑体_GBK"/>
                <w:sz w:val="18"/>
                <w:szCs w:val="18"/>
              </w:rPr>
              <w:t>L份额：业绩比较基准为2.63%(年化)。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F份额：销售费年化0.25%</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A份额：固定管理费年化0.18%</w:t>
            </w:r>
          </w:p>
          <w:p>
            <w:pPr>
              <w:pStyle w:val="null10"/>
              <w:spacing w:lineRule="exact" w:line="200"/>
            </w:pPr>
            <w:r>
              <w:rPr>
                <w:rFonts w:ascii="方正黑体_GBK" w:hAnsi="方正黑体_GBK" w:cs="宋体" w:eastAsia="方正黑体_GBK"/>
                <w:sz w:val="18"/>
                <w:b/>
                <w:szCs w:val="18"/>
              </w:rPr>
              <w:t>B份额：固定管理费年化0.13%</w:t>
            </w:r>
          </w:p>
          <w:p>
            <w:pPr>
              <w:pStyle w:val="null10"/>
              <w:spacing w:lineRule="exact" w:line="200"/>
            </w:pPr>
            <w:r>
              <w:rPr>
                <w:rFonts w:ascii="方正黑体_GBK" w:hAnsi="方正黑体_GBK" w:cs="宋体" w:eastAsia="方正黑体_GBK"/>
                <w:sz w:val="18"/>
                <w:b/>
                <w:szCs w:val="18"/>
              </w:rPr>
              <w:t>C份额：固定管理费年化0.13%</w:t>
            </w:r>
          </w:p>
          <w:p>
            <w:pPr>
              <w:pStyle w:val="null10"/>
              <w:spacing w:lineRule="exact" w:line="200"/>
            </w:pPr>
            <w:r>
              <w:rPr>
                <w:rFonts w:ascii="方正黑体_GBK" w:hAnsi="方正黑体_GBK" w:cs="宋体" w:eastAsia="方正黑体_GBK"/>
                <w:sz w:val="18"/>
                <w:b/>
                <w:szCs w:val="18"/>
              </w:rPr>
              <w:t>D份额：固定管理费年化0.08%</w:t>
            </w:r>
          </w:p>
          <w:p>
            <w:pPr>
              <w:pStyle w:val="null10"/>
              <w:spacing w:lineRule="exact" w:line="200"/>
            </w:pPr>
            <w:r>
              <w:rPr>
                <w:rFonts w:ascii="方正黑体_GBK" w:hAnsi="方正黑体_GBK" w:cs="宋体" w:eastAsia="方正黑体_GBK"/>
                <w:sz w:val="18"/>
                <w:b/>
                <w:szCs w:val="18"/>
              </w:rPr>
              <w:t>F份额：固定管理费年化0.08%</w:t>
            </w:r>
          </w:p>
          <w:p>
            <w:pPr>
              <w:pStyle w:val="null10"/>
              <w:spacing w:lineRule="exact" w:line="200"/>
            </w:pPr>
            <w:r>
              <w:rPr>
                <w:rFonts w:ascii="方正黑体_GBK" w:hAnsi="方正黑体_GBK" w:cs="宋体" w:eastAsia="方正黑体_GBK"/>
                <w:sz w:val="18"/>
                <w:b/>
                <w:szCs w:val="18"/>
              </w:rPr>
              <w:t>G份额：固定管理费年化0.08%</w:t>
            </w:r>
          </w:p>
          <w:p>
            <w:pPr>
              <w:pStyle w:val="null10"/>
              <w:spacing w:lineRule="exact" w:line="200"/>
            </w:pPr>
            <w:r>
              <w:rPr>
                <w:rFonts w:ascii="方正黑体_GBK" w:hAnsi="方正黑体_GBK" w:cs="宋体" w:eastAsia="方正黑体_GBK"/>
                <w:sz w:val="18"/>
                <w:b/>
                <w:szCs w:val="18"/>
              </w:rPr>
              <w:t>J份额：固定管理费年化0.18%</w:t>
            </w:r>
          </w:p>
          <w:p>
            <w:pPr>
              <w:pStyle w:val="null10"/>
              <w:spacing w:lineRule="exact" w:line="200"/>
            </w:pPr>
            <w:r>
              <w:rPr>
                <w:rFonts w:ascii="方正黑体_GBK" w:hAnsi="方正黑体_GBK" w:cs="宋体" w:eastAsia="方正黑体_GBK"/>
                <w:sz w:val="18"/>
                <w:b/>
                <w:szCs w:val="18"/>
              </w:rPr>
              <w:t>L份额：固定管理费年化0.08%</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A份额：到期兑付时，当期产品投资的实际资产组合收益（扣除销售费、固定管理费、托管费等相关费用）超过2.38%（年化，即产品该份额对应的业绩报酬计提基准）时，超过部分管理人将按60%收取业绩报酬。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B份额：到期兑付时，当期产品投资的实际资产组合收益（扣除销售费、固定管理费、托管费等相关费用）超过2.48%（年化，即产品该份额对应的业绩报酬计提基准）时，超过部分管理人将按60%收取业绩报酬。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C份额：到期兑付时，当期产品投资的实际资产组合收益（扣除销售费、固定管理费、托管费等相关费用）超过2.58%（年化，即产品该份额对应的业绩报酬计提基准）时，超过部分管理人将按60%收取业绩报酬。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D份额：到期兑付时，当期产品投资的实际资产组合收益（扣除销售费、固定管理费、托管费等相关费用）超过2.68%（年化，即产品该份额对应的业绩报酬计提基准）时，超过部分管理人将按60%收取业绩报酬。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F份额：到期兑付时，当期产品投资的实际资产组合收益（扣除销售费、固定管理费、托管费等相关费用）超过2.43%（年化，即产品该份额对应的业绩报酬计提基准）时，超过部分管理人将按60%收取业绩报酬。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G份额：到期兑付时，当期产品投资的实际资产组合收益（扣除销售费、固定管理费、托管费等相关费用）超过2.48%（年化，即产品该份额对应的业绩报酬计提基准）时，超过部分管理人将按60%收取业绩报酬。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J份额：到期兑付时，当期产品投资的实际资产组合收益（扣除销售费、固定管理费、托管费等相关费用）超过2.38%（年化，即产品该份额对应的业绩报酬计提基准）时，超过部分管理人将按60%收取业绩报酬。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L份额：到期兑付时，当期产品投资的实际资产组合收益（扣除销售费、固定管理费、托管费等相关费用）超过2.63%（年化，即产品该份额对应的业绩报酬计提基准）时，超过部分管理人将按60%收取业绩报酬。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江苏常熟农村商业银行股份有限公司、江苏苏州农村商业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珠海华润银行股份有限公司、连云港东方农村商业银行股份有限公司、德州银行股份有限公司、四川天府银行股份有限公司、北京农村商业银行股份有限公司、上海农村商业银行股份有限公司、江苏沭阳农村商业银行股份有限公司、湖州银行股份有限公司、江苏灌云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b0638f54"/>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09eb42f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09eb42f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09eb42f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09eb42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09eb42f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09eb42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09eb42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09eb42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09eb42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09eb42f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09eb42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09eb42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09eb42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09eb42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09eb42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09eb42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09eb42f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09eb42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09eb42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09eb42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09eb42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09eb42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09eb42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09eb42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09eb42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09eb42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09eb42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09eb42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09eb42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09eb42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09eb42f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09eb42f4"/>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南银理财珠联璧合鑫逸稳半年136期封闭式公募人民币理财产品</w:t>
      </w:r>
      <w:r>
        <w:rPr>
          <w:rFonts w:ascii="方正黑体_GBK" w:eastAsia="方正黑体_GBK" w:hint="eastAsia" w:hAnsi="方正黑体_GBK"/>
          <w:vanish w:val="0"/>
          <w:color w:val="3D3D3D"/>
          <w:kern w:val="0"/>
          <w:sz w:val="15"/>
          <w:szCs w:val="15"/>
        </w:rPr>
        <w:t>。</w:t>
      </w:r>
    </w:p>
    <w:p>
      <w:pPr>
        <w:pStyle w:val="09eb42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09eb42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09eb42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09eb42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09eb42f4"/>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09eb42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09eb42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09eb42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09eb42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09eb42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09eb42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09eb42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09eb42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09eb42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09eb42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09eb42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09eb42f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09eb42f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09eb42f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8e65e0e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8e65e0e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8e65e0e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8e65e0e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8e65e0e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8e65e0e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09eb42f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09eb42f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09eb42f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b0638f5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b0638f5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8e65e0e8"/>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b0638f54"/>
        <w:keepNext w:val="0"/>
        <w:keepLines w:val="0"/>
        <w:pageBreakBefore w:val="0"/>
        <w:widowControl/>
        <w:suppressLineNumbers w:val="0"/>
        <w:suppressAutoHyphens w:val="0"/>
        <w:spacing w:line="200" w:lineRule="exact"/>
        <w:ind w:firstLineChars="200" w:firstLine="300"/>
        <w:rPr>
          <w:rStyle w:val="8e65e0e8"/>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b0638f5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b0638f5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b0638f54"/>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b0638f54"/>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b0638f5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b0638f5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b0638f5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b0638f5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b0638f5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b0638f5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b0638f5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b0638f5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b0638f5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b0638f5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b0638f5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b0638f5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b0638f5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b0638f5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b0638f5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b0638f5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b0638f5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b0638f5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b0638f5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b0638f5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b0638f54"/>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b0638f5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b0638f5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b0638f5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b0638f54"/>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b0638f5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b0638f54"/>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b0638f5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b0638f5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b0638f5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b0638f5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b0638f5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b0638f5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b0638f54"/>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2"/>
  </w:num>
  <w:num w:numId="2">
    <w:abstractNumId w:val="4"/>
  </w:num>
  <w:num w:numId="3">
    <w:abstractNumId w:val="3"/>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e382741f">
    <w:name w:val="Normale382741f"/>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87c5d26b">
    <w:name w:val="heading 187c5d26b"/>
    <w:basedOn w:val="e382741f"/>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c4cd6a7c">
    <w:name w:val="heading 2c4cd6a7c"/>
    <w:basedOn w:val="e382741f"/>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a1c32e74">
    <w:name w:val="heading 3a1c32e74"/>
    <w:basedOn w:val="e382741f"/>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20caefe8">
    <w:name w:val="Default Paragraph Font20caefe8"/>
  </w:style>
  <w:style xmlns:r="http://schemas.openxmlformats.org/officeDocument/2006/relationships" w:type="paragraph" w:styleId="d4759e30">
    <w:name w:val="toc 1d4759e30"/>
    <w:basedOn w:val="e382741f"/>
    <w:autoRedefine/>
    <w:next w:val="0"/>
  </w:style>
  <w:style xmlns:r="http://schemas.openxmlformats.org/officeDocument/2006/relationships" w:type="paragraph" w:styleId="fe87137b">
    <w:name w:val="toc 2fe87137b"/>
    <w:basedOn w:val="e382741f"/>
    <w:autoRedefine/>
    <w:next w:val="0"/>
    <w:pPr>
      <w:ind w:left="420"/>
    </w:pPr>
  </w:style>
  <w:style xmlns:r="http://schemas.openxmlformats.org/officeDocument/2006/relationships" w:type="paragraph" w:styleId="a73e3cb8">
    <w:name w:val="toc 3a73e3cb8"/>
    <w:basedOn w:val="e382741f"/>
    <w:autoRedefine/>
    <w:next w:val="0"/>
    <w:pPr>
      <w:ind w:left="840"/>
    </w:pPr>
  </w:style>
  <w:style xmlns:r="http://schemas.openxmlformats.org/officeDocument/2006/relationships" w:type="paragraph" w:styleId="391b5fa4">
    <w:name w:val="toc 4391b5fa4"/>
    <w:basedOn w:val="e382741f"/>
    <w:autoRedefine/>
    <w:next w:val="0"/>
    <w:pPr>
      <w:ind w:left="1260"/>
    </w:pPr>
  </w:style>
  <w:style xmlns:r="http://schemas.openxmlformats.org/officeDocument/2006/relationships" w:type="paragraph" w:styleId="3be32939">
    <w:name w:val="toc 53be32939"/>
    <w:basedOn w:val="e382741f"/>
    <w:autoRedefine/>
    <w:next w:val="0"/>
    <w:pPr>
      <w:ind w:left="1680"/>
    </w:pPr>
  </w:style>
  <w:style xmlns:r="http://schemas.openxmlformats.org/officeDocument/2006/relationships" w:type="paragraph" w:styleId="433db068">
    <w:name w:val="header433db068"/>
    <w:basedOn w:val="e382741f"/>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e738c573">
    <w:name w:val="footere738c573"/>
    <w:basedOn w:val="e382741f"/>
    <w:pPr>
      <w:tabs>
        <w:tab w:val="center" w:pos="4153"/>
        <w:tab w:val="right" w:pos="8307"/>
      </w:tabs>
      <w:adjustRightInd/>
      <w:snapToGrid w:val="0"/>
      <w:contextualSpacing w:val="0"/>
      <w:jc w:val="left"/>
    </w:pPr>
    <w:rPr>
      <w:sz w:val="18"/>
    </w:rPr>
  </w:style>
  <w:style xmlns:r="http://schemas.openxmlformats.org/officeDocument/2006/relationships" w:type="character" w:styleId="599c4c4f">
    <w:name w:val="Strong599c4c4f"/>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b0638f54">
    <w:name w:val="Normalb0638f54"/>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a17dd4a3">
    <w:name w:val="heading 1a17dd4a3"/>
    <w:basedOn w:val="b0638f54"/>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bad1e57">
    <w:name w:val="heading 26bad1e57"/>
    <w:basedOn w:val="b0638f54"/>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1e954cdd">
    <w:name w:val="heading 31e954cdd"/>
    <w:basedOn w:val="b0638f54"/>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8cd955a7">
    <w:name w:val="Default Paragraph Font8cd955a7"/>
  </w:style>
  <w:style xmlns:r="http://schemas.openxmlformats.org/officeDocument/2006/relationships" w:type="paragraph" w:styleId="26db973b">
    <w:name w:val="Normal Indent26db973b"/>
    <w:basedOn w:val="b0638f54"/>
    <w:pPr>
      <w:ind w:firstLineChars="200" w:firstLine="200"/>
    </w:pPr>
  </w:style>
  <w:style xmlns:r="http://schemas.openxmlformats.org/officeDocument/2006/relationships" w:type="paragraph" w:styleId="91aa64ab">
    <w:name w:val="toc 591aa64ab"/>
    <w:basedOn w:val="b0638f54"/>
    <w:next w:val="0"/>
    <w:pPr>
      <w:ind w:left="1680"/>
    </w:pPr>
  </w:style>
  <w:style xmlns:r="http://schemas.openxmlformats.org/officeDocument/2006/relationships" w:type="paragraph" w:styleId="1aece09b">
    <w:name w:val="toc 31aece09b"/>
    <w:basedOn w:val="b0638f54"/>
    <w:next w:val="0"/>
    <w:pPr>
      <w:ind w:left="840"/>
    </w:pPr>
  </w:style>
  <w:style xmlns:r="http://schemas.openxmlformats.org/officeDocument/2006/relationships" w:type="paragraph" w:styleId="cac58bcf">
    <w:name w:val="footercac58bcf"/>
    <w:basedOn w:val="b0638f54"/>
    <w:pPr>
      <w:tabs>
        <w:tab w:val="center" w:pos="4153"/>
        <w:tab w:val="right" w:pos="8307"/>
      </w:tabs>
      <w:adjustRightInd/>
      <w:snapToGrid w:val="0"/>
      <w:contextualSpacing w:val="0"/>
      <w:jc w:val="left"/>
    </w:pPr>
    <w:rPr>
      <w:sz w:val="18"/>
    </w:rPr>
  </w:style>
  <w:style xmlns:r="http://schemas.openxmlformats.org/officeDocument/2006/relationships" w:type="paragraph" w:styleId="2ddc3255">
    <w:name w:val="header2ddc3255"/>
    <w:basedOn w:val="b0638f54"/>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649dd02d">
    <w:name w:val="toc 1649dd02d"/>
    <w:basedOn w:val="b0638f54"/>
    <w:next w:val="0"/>
  </w:style>
  <w:style xmlns:r="http://schemas.openxmlformats.org/officeDocument/2006/relationships" w:type="paragraph" w:styleId="2fa8770f">
    <w:name w:val="toc 42fa8770f"/>
    <w:basedOn w:val="b0638f54"/>
    <w:next w:val="0"/>
    <w:pPr>
      <w:ind w:left="1260"/>
    </w:pPr>
  </w:style>
  <w:style xmlns:r="http://schemas.openxmlformats.org/officeDocument/2006/relationships" w:type="paragraph" w:styleId="1f09705e">
    <w:name w:val="toc 21f09705e"/>
    <w:basedOn w:val="b0638f54"/>
    <w:next w:val="0"/>
    <w:pPr>
      <w:ind w:left="420"/>
    </w:pPr>
  </w:style>
  <w:style xmlns:r="http://schemas.openxmlformats.org/officeDocument/2006/relationships" w:type="paragraph" w:styleId="d5905915">
    <w:name w:val="Normal (Web)d5905915"/>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09eb42f4">
    <w:name w:val="Normal09eb42f409eb42f4"/>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e7282a06">
    <w:name w:val="heading 1e7282a06e7282a06"/>
    <w:basedOn w:val="09eb42f4"/>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1babf28">
    <w:name w:val="heading 261babf2861babf28"/>
    <w:basedOn w:val="09eb42f4"/>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5bfd4b4e">
    <w:name w:val="heading 35bfd4b4e5bfd4b4e"/>
    <w:basedOn w:val="09eb42f4"/>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6d78c3b5">
    <w:name w:val="Default Paragraph Font6d78c3b56d78c3b5"/>
  </w:style>
  <w:style xmlns:r="http://schemas.openxmlformats.org/officeDocument/2006/relationships" w:type="paragraph" w:customStyle="1" w:styleId="898436f9">
    <w:name w:val="引文目录1898436f9898436f9"/>
    <w:basedOn w:val="09eb42f4"/>
    <w:next w:val="0"/>
    <w:pPr>
      <w:ind w:leftChars="200" w:left="200"/>
    </w:pPr>
  </w:style>
  <w:style xmlns:r="http://schemas.openxmlformats.org/officeDocument/2006/relationships" w:type="paragraph" w:styleId="a686ea34">
    <w:name w:val="toc 5a686ea34a686ea34"/>
    <w:basedOn w:val="09eb42f4"/>
    <w:next w:val="0"/>
    <w:pPr>
      <w:ind w:left="1680"/>
    </w:pPr>
  </w:style>
  <w:style xmlns:r="http://schemas.openxmlformats.org/officeDocument/2006/relationships" w:type="paragraph" w:styleId="157370b8">
    <w:name w:val="toc 3157370b8157370b8"/>
    <w:basedOn w:val="09eb42f4"/>
    <w:next w:val="0"/>
    <w:pPr>
      <w:ind w:left="840"/>
    </w:pPr>
  </w:style>
  <w:style xmlns:r="http://schemas.openxmlformats.org/officeDocument/2006/relationships" w:type="paragraph" w:styleId="3bd67f3f">
    <w:name w:val="footer3bd67f3f3bd67f3f"/>
    <w:basedOn w:val="09eb42f4"/>
    <w:pPr>
      <w:tabs>
        <w:tab w:val="center" w:pos="4153"/>
        <w:tab w:val="right" w:pos="8307"/>
      </w:tabs>
      <w:adjustRightInd/>
      <w:snapToGrid w:val="0"/>
      <w:contextualSpacing w:val="0"/>
      <w:jc w:val="left"/>
    </w:pPr>
    <w:rPr>
      <w:sz w:val="18"/>
    </w:rPr>
  </w:style>
  <w:style xmlns:r="http://schemas.openxmlformats.org/officeDocument/2006/relationships" w:type="paragraph" w:styleId="9c3123af">
    <w:name w:val="header9c3123af9c3123af"/>
    <w:basedOn w:val="09eb42f4"/>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83a3ef65">
    <w:name w:val="toc 183a3ef6583a3ef65"/>
    <w:basedOn w:val="09eb42f4"/>
    <w:next w:val="0"/>
  </w:style>
  <w:style xmlns:r="http://schemas.openxmlformats.org/officeDocument/2006/relationships" w:type="paragraph" w:styleId="d6456247">
    <w:name w:val="toc 4d6456247d6456247"/>
    <w:basedOn w:val="09eb42f4"/>
    <w:next w:val="0"/>
    <w:pPr>
      <w:ind w:left="1260"/>
    </w:pPr>
  </w:style>
  <w:style xmlns:r="http://schemas.openxmlformats.org/officeDocument/2006/relationships" w:type="paragraph" w:styleId="22e87b53">
    <w:name w:val="toc 222e87b5322e87b53"/>
    <w:basedOn w:val="09eb42f4"/>
    <w:next w:val="0"/>
    <w:pPr>
      <w:ind w:left="420"/>
    </w:pPr>
  </w:style>
  <w:style xmlns:r="http://schemas.openxmlformats.org/officeDocument/2006/relationships" w:type="paragraph" w:customStyle="1" w:styleId="8e65e0e8">
    <w:name w:val="列出段落18e65e0e88e65e0e8"/>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