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52a5023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52a5023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52a5023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399天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52a5023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52a5023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52a5023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52a5023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52a5023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52a5023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52a5023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52a5023e"/>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d9ef7bfb"/>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d9ef7bfb"/>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1facefd5"/>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南银理财珠联璧合鑫逸稳一年245期封闭式公募人民币理财产品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ZZ700322500559</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Z7003225000355(投资者可依据该编码在中国理财网www.chinawealth.com.cn查询理财产品相关信息）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A份额：Y30245</w:t>
            </w:r>
          </w:p>
          <w:p>
            <w:pPr>
              <w:pStyle w:val="null10"/>
              <w:spacing w:lineRule="exact" w:line="200"/>
            </w:pPr>
            <w:r>
              <w:rPr>
                <w:rFonts w:ascii="方正黑体_GBK" w:hAnsi="方正黑体_GBK" w:cs="宋体" w:eastAsia="方正黑体_GBK"/>
                <w:sz w:val="18"/>
                <w:szCs w:val="18"/>
              </w:rPr>
              <w:t>B份额：Y31245</w:t>
            </w:r>
          </w:p>
          <w:p>
            <w:pPr>
              <w:pStyle w:val="null10"/>
              <w:spacing w:lineRule="exact" w:line="200"/>
            </w:pPr>
            <w:r>
              <w:rPr>
                <w:rFonts w:ascii="方正黑体_GBK" w:hAnsi="方正黑体_GBK" w:cs="宋体" w:eastAsia="方正黑体_GBK"/>
                <w:sz w:val="18"/>
                <w:szCs w:val="18"/>
              </w:rPr>
              <w:t>C份额：Y32245</w:t>
            </w:r>
          </w:p>
          <w:p>
            <w:pPr>
              <w:pStyle w:val="null10"/>
              <w:spacing w:lineRule="exact" w:line="200"/>
            </w:pPr>
            <w:r>
              <w:rPr>
                <w:rFonts w:ascii="方正黑体_GBK" w:hAnsi="方正黑体_GBK" w:cs="宋体" w:eastAsia="方正黑体_GBK"/>
                <w:sz w:val="18"/>
                <w:szCs w:val="18"/>
              </w:rPr>
              <w:t>D份额：Y33245</w:t>
            </w:r>
          </w:p>
          <w:p>
            <w:pPr>
              <w:pStyle w:val="null10"/>
              <w:spacing w:lineRule="exact" w:line="200"/>
            </w:pPr>
            <w:r>
              <w:rPr>
                <w:rFonts w:ascii="方正黑体_GBK" w:hAnsi="方正黑体_GBK" w:cs="宋体" w:eastAsia="方正黑体_GBK"/>
                <w:sz w:val="18"/>
                <w:szCs w:val="18"/>
              </w:rPr>
              <w:t>F份额：Y35245</w:t>
            </w:r>
          </w:p>
          <w:p>
            <w:pPr>
              <w:pStyle w:val="null10"/>
              <w:spacing w:lineRule="exact" w:line="200"/>
            </w:pPr>
            <w:r>
              <w:rPr>
                <w:rFonts w:ascii="方正黑体_GBK" w:hAnsi="方正黑体_GBK" w:cs="宋体" w:eastAsia="方正黑体_GBK"/>
                <w:sz w:val="18"/>
                <w:szCs w:val="18"/>
              </w:rPr>
              <w:t>G份额：Y36245</w:t>
            </w:r>
          </w:p>
          <w:p>
            <w:pPr>
              <w:pStyle w:val="null10"/>
              <w:spacing w:lineRule="exact" w:line="200"/>
            </w:pPr>
            <w:r>
              <w:rPr>
                <w:rFonts w:ascii="方正黑体_GBK" w:hAnsi="方正黑体_GBK" w:cs="宋体" w:eastAsia="方正黑体_GBK"/>
                <w:sz w:val="18"/>
                <w:szCs w:val="18"/>
              </w:rPr>
              <w:t>K份额：YA30245</w:t>
            </w:r>
          </w:p>
          <w:p>
            <w:pPr>
              <w:pStyle w:val="null10"/>
              <w:spacing w:lineRule="exact" w:line="200"/>
            </w:pPr>
            <w:r>
              <w:rPr>
                <w:rFonts w:ascii="方正黑体_GBK" w:hAnsi="方正黑体_GBK" w:cs="宋体" w:eastAsia="方正黑体_GBK"/>
                <w:sz w:val="18"/>
                <w:szCs w:val="18"/>
              </w:rPr>
              <w:t>L份额：YB30245</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A份额：除B、C、D、F、G、L、K份额以外的所有客户（详见“销售机构”条款）。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B份额：南京银行股份有限公司(新客或新资金或代发客户)、青岛银行股份有限公司( 私行客户)、徽商银行股份有限公司( 常规客群)、杭州银行股份有限公司( 大众客户)、温州银行股份有限公司、烟台银行股份有限公司( 社保卡客户)、齐商银行股份有限公司、广州银行股份有限公司、江苏常熟农村商业银行股份有限公司( 专属客户)、吉林银行股份有限公司、苏州银行股份有限公司( 大众客户)、秦皇岛银行股份有限公司、潍坊银行股份有限公司（财富客户）、齐鲁银行股份有限公司( 政务服务中心支行开业专享)、甘肃银行股份有限公司、天津农村商业银行股份有限公司( 滨海分行专属)、兰州银行股份有限公司、江苏南通农村商业银行股份有限公司( 代发客户)、江苏淮安农村商业银行股份有限公司(财富客户)、江苏镇江农村商业银行股份有限公司( 20万元起购)、江苏如皋农村商业银行股份有限公司(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财富客群)、江苏紫金农村商业银行股份有限公司、江苏沛县农村商业银行股份有限公司、江苏仪征农村商业银行股份有限公司( 20万元起购)、枣庄银行股份有限公司。</w:t>
            </w:r>
          </w:p>
          <w:p>
            <w:pPr>
              <w:pStyle w:val="null10"/>
              <w:spacing w:lineRule="exact" w:line="200"/>
            </w:pPr>
            <w:r>
              <w:rPr>
                <w:rFonts w:ascii="方正黑体_GBK" w:hAnsi="方正黑体_GBK" w:cs="宋体" w:eastAsia="方正黑体_GBK"/>
                <w:sz w:val="18"/>
                <w:szCs w:val="18"/>
              </w:rPr>
              <w:t>C份额：徽商银行股份有限公司(南京分行专属、马鞍山分行教师专属理财)、杭州银行股份有限公司( 私行客户)、烟台银行股份有限公司（特邀客户）、嘉兴银行股份有限公司( 私行客户)、郑州银行股份有限公司、苏州银行股份有限公司( 公司客户)、日照银行股份有限公司(特邀客群)、泰安银行股份有限公司、齐鲁银行股份有限公司(特邀客群)、天津农村商业银行股份有限公司(军人客户)、云南红塔银行股份有限公司(分行定制)、兰州银行股份有限公司、宁波通商银行股份有限公司( 价值客户和新客专属)、江苏泰兴农村商业银行股份有限公司、江苏响水农村商业银行股份有限公司(起点金额50万)、江苏靖江农村商业银行股份有限公司、江苏盐城农村商业银行股份有限公司( 行庆特供)、江苏南通农村商业银行股份有限公司( 机构客户)、江苏兴化农村商业银行股份有限公司、江苏镇江农村商业银行股份有限公司( 100万元起购)、江苏滨海农村商业银行股份有限公司、江苏射阳农村商业银行股份有限公司、江苏句容农村商业银行股份有限公司、江苏如东农村商业银行股份有限公司。</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F份额：兴业银行股份有限公司（普通客户）。</w:t>
            </w:r>
          </w:p>
          <w:p>
            <w:pPr>
              <w:pStyle w:val="null10"/>
              <w:spacing w:lineRule="exact" w:line="200"/>
            </w:pPr>
            <w:r>
              <w:rPr>
                <w:rFonts w:ascii="方正黑体_GBK" w:hAnsi="方正黑体_GBK" w:cs="宋体" w:eastAsia="方正黑体_GBK"/>
                <w:sz w:val="18"/>
                <w:szCs w:val="18"/>
              </w:rPr>
              <w:t>G份额：兴业银行股份有限公司（新客户）。</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L份额：江苏张家港农村商业银行股份有限公司( 特定客户)、江苏常熟农村商业银行股份有限公司( 专属特定客群)、苏州银行股份有限公司、天津农村商业银行股份有限公司( 私行客群)。</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A份额/B份额/C份额/D份额/F份额/G份额/K份额/L份额：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A份额/B份额/C份额/D份额/F份额/G份额/K份额/L份额：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2025年10月23日 09:00—2025年10月28日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2025年10月29日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2025年10月29日—实际到期日（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399天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2026年12月02日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A份额：业绩比较基准为2.55%(年化)。</w:t>
            </w:r>
          </w:p>
          <w:p>
            <w:pPr>
              <w:pStyle w:val="null10"/>
              <w:spacing w:lineRule="exact" w:line="200"/>
            </w:pPr>
            <w:r>
              <w:rPr>
                <w:rFonts w:ascii="方正黑体_GBK" w:hAnsi="方正黑体_GBK" w:cs="宋体" w:eastAsia="方正黑体_GBK"/>
                <w:sz w:val="18"/>
                <w:szCs w:val="18"/>
              </w:rPr>
              <w:t>B份额：业绩比较基准为2.65%(年化)。</w:t>
            </w:r>
          </w:p>
          <w:p>
            <w:pPr>
              <w:pStyle w:val="null10"/>
              <w:spacing w:lineRule="exact" w:line="200"/>
            </w:pPr>
            <w:r>
              <w:rPr>
                <w:rFonts w:ascii="方正黑体_GBK" w:hAnsi="方正黑体_GBK" w:cs="宋体" w:eastAsia="方正黑体_GBK"/>
                <w:sz w:val="18"/>
                <w:szCs w:val="18"/>
              </w:rPr>
              <w:t>C份额：业绩比较基准为2.75%(年化)。</w:t>
            </w:r>
          </w:p>
          <w:p>
            <w:pPr>
              <w:pStyle w:val="null10"/>
              <w:spacing w:lineRule="exact" w:line="200"/>
            </w:pPr>
            <w:r>
              <w:rPr>
                <w:rFonts w:ascii="方正黑体_GBK" w:hAnsi="方正黑体_GBK" w:cs="宋体" w:eastAsia="方正黑体_GBK"/>
                <w:sz w:val="18"/>
                <w:szCs w:val="18"/>
              </w:rPr>
              <w:t>D份额：业绩比较基准为2.85%(年化)。</w:t>
            </w:r>
          </w:p>
          <w:p>
            <w:pPr>
              <w:pStyle w:val="null10"/>
              <w:spacing w:lineRule="exact" w:line="200"/>
            </w:pPr>
            <w:r>
              <w:rPr>
                <w:rFonts w:ascii="方正黑体_GBK" w:hAnsi="方正黑体_GBK" w:cs="宋体" w:eastAsia="方正黑体_GBK"/>
                <w:sz w:val="18"/>
                <w:szCs w:val="18"/>
              </w:rPr>
              <w:t>F份额：业绩比较基准为2.6%(年化)。</w:t>
            </w:r>
          </w:p>
          <w:p>
            <w:pPr>
              <w:pStyle w:val="null10"/>
              <w:spacing w:lineRule="exact" w:line="200"/>
            </w:pPr>
            <w:r>
              <w:rPr>
                <w:rFonts w:ascii="方正黑体_GBK" w:hAnsi="方正黑体_GBK" w:cs="宋体" w:eastAsia="方正黑体_GBK"/>
                <w:sz w:val="18"/>
                <w:szCs w:val="18"/>
              </w:rPr>
              <w:t>G份额：业绩比较基准为2.65%(年化)。</w:t>
            </w:r>
          </w:p>
          <w:p>
            <w:pPr>
              <w:pStyle w:val="null10"/>
              <w:spacing w:lineRule="exact" w:line="200"/>
            </w:pPr>
            <w:r>
              <w:rPr>
                <w:rFonts w:ascii="方正黑体_GBK" w:hAnsi="方正黑体_GBK" w:cs="宋体" w:eastAsia="方正黑体_GBK"/>
                <w:sz w:val="18"/>
                <w:szCs w:val="18"/>
              </w:rPr>
              <w:t>K份额：业绩比较基准为2.7%(年化)。</w:t>
            </w:r>
          </w:p>
          <w:p>
            <w:pPr>
              <w:pStyle w:val="null10"/>
              <w:spacing w:lineRule="exact" w:line="200"/>
            </w:pPr>
            <w:r>
              <w:rPr>
                <w:rFonts w:ascii="方正黑体_GBK" w:hAnsi="方正黑体_GBK" w:cs="宋体" w:eastAsia="方正黑体_GBK"/>
                <w:sz w:val="18"/>
                <w:szCs w:val="18"/>
              </w:rPr>
              <w:t>L份额：业绩比较基准为2.8%(年化)。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F份额：销售费年化0.25%</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K份额：销售费年化0.15%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A份额：固定管理费年化0.15%</w:t>
            </w:r>
          </w:p>
          <w:p>
            <w:pPr>
              <w:pStyle w:val="null10"/>
              <w:spacing w:lineRule="exact" w:line="200"/>
            </w:pPr>
            <w:r>
              <w:rPr>
                <w:rFonts w:ascii="方正黑体_GBK" w:hAnsi="方正黑体_GBK" w:cs="宋体" w:eastAsia="方正黑体_GBK"/>
                <w:sz w:val="18"/>
                <w:b/>
                <w:szCs w:val="18"/>
              </w:rPr>
              <w:t>B份额：固定管理费年化0.1%</w:t>
            </w:r>
          </w:p>
          <w:p>
            <w:pPr>
              <w:pStyle w:val="null10"/>
              <w:spacing w:lineRule="exact" w:line="200"/>
            </w:pPr>
            <w:r>
              <w:rPr>
                <w:rFonts w:ascii="方正黑体_GBK" w:hAnsi="方正黑体_GBK" w:cs="宋体" w:eastAsia="方正黑体_GBK"/>
                <w:sz w:val="18"/>
                <w:b/>
                <w:szCs w:val="18"/>
              </w:rPr>
              <w:t>C份额：固定管理费年化0.1%</w:t>
            </w:r>
          </w:p>
          <w:p>
            <w:pPr>
              <w:pStyle w:val="null10"/>
              <w:spacing w:lineRule="exact" w:line="200"/>
            </w:pPr>
            <w:r>
              <w:rPr>
                <w:rFonts w:ascii="方正黑体_GBK" w:hAnsi="方正黑体_GBK" w:cs="宋体" w:eastAsia="方正黑体_GBK"/>
                <w:sz w:val="18"/>
                <w:b/>
                <w:szCs w:val="18"/>
              </w:rPr>
              <w:t>D份额：固定管理费年化0.05%</w:t>
            </w:r>
          </w:p>
          <w:p>
            <w:pPr>
              <w:pStyle w:val="null10"/>
              <w:spacing w:lineRule="exact" w:line="200"/>
            </w:pPr>
            <w:r>
              <w:rPr>
                <w:rFonts w:ascii="方正黑体_GBK" w:hAnsi="方正黑体_GBK" w:cs="宋体" w:eastAsia="方正黑体_GBK"/>
                <w:sz w:val="18"/>
                <w:b/>
                <w:szCs w:val="18"/>
              </w:rPr>
              <w:t>F份额：固定管理费年化0.05%</w:t>
            </w:r>
          </w:p>
          <w:p>
            <w:pPr>
              <w:pStyle w:val="null10"/>
              <w:spacing w:lineRule="exact" w:line="200"/>
            </w:pPr>
            <w:r>
              <w:rPr>
                <w:rFonts w:ascii="方正黑体_GBK" w:hAnsi="方正黑体_GBK" w:cs="宋体" w:eastAsia="方正黑体_GBK"/>
                <w:sz w:val="18"/>
                <w:b/>
                <w:szCs w:val="18"/>
              </w:rPr>
              <w:t>G份额：固定管理费年化0.05%</w:t>
            </w:r>
          </w:p>
          <w:p>
            <w:pPr>
              <w:pStyle w:val="null10"/>
              <w:spacing w:lineRule="exact" w:line="200"/>
            </w:pPr>
            <w:r>
              <w:rPr>
                <w:rFonts w:ascii="方正黑体_GBK" w:hAnsi="方正黑体_GBK" w:cs="宋体" w:eastAsia="方正黑体_GBK"/>
                <w:sz w:val="18"/>
                <w:b/>
                <w:szCs w:val="18"/>
              </w:rPr>
              <w:t>K份额：固定管理费年化0.05%</w:t>
            </w:r>
          </w:p>
          <w:p>
            <w:pPr>
              <w:pStyle w:val="null10"/>
              <w:spacing w:lineRule="exact" w:line="200"/>
            </w:pPr>
            <w:r>
              <w:rPr>
                <w:rFonts w:ascii="方正黑体_GBK" w:hAnsi="方正黑体_GBK" w:cs="宋体" w:eastAsia="方正黑体_GBK"/>
                <w:sz w:val="18"/>
                <w:b/>
                <w:szCs w:val="18"/>
              </w:rPr>
              <w:t>L份额：固定管理费年化0.05%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A份额：到期兑付时，当期产品投资的实际资产组合收益（扣除销售费、固定管理费、托管费等相关费用）超过2.55%（年化，即产品该份额对应的业绩报酬计提基准）时，超过部分管理人将按60%收取业绩报酬。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B份额：到期兑付时，当期产品投资的实际资产组合收益（扣除销售费、固定管理费、托管费等相关费用）超过2.65%（年化，即产品该份额对应的业绩报酬计提基准）时，超过部分管理人将按60%收取业绩报酬。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D份额：到期兑付时，当期产品投资的实际资产组合收益（扣除销售费、固定管理费、托管费等相关费用）超过2.85%（年化，即产品该份额对应的业绩报酬计提基准）时，超过部分管理人将按60%收取业绩报酬。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F份额：到期兑付时，当期产品投资的实际资产组合收益（扣除销售费、固定管理费、托管费等相关费用）超过2.6%（年化，即产品该份额对应的业绩报酬计提基准）时，超过部分管理人将按60%收取业绩报酬。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G份额：到期兑付时，当期产品投资的实际资产组合收益（扣除销售费、固定管理费、托管费等相关费用）超过2.65%（年化，即产品该份额对应的业绩报酬计提基准）时，超过部分管理人将按60%收取业绩报酬。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K份额：到期兑付时，当期产品投资的实际资产组合收益（扣除销售费、固定管理费、托管费等相关费用）超过2.7%（年化，即产品该份额对应的业绩报酬计提基准）时，超过部分管理人将按60%收取业绩报酬。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pPr>
              <w:pStyle w:val="null10"/>
              <w:spacing w:lineRule="exact" w:line="200"/>
            </w:pPr>
            <w:r>
              <w:rPr>
                <w:rFonts w:ascii="方正黑体_GBK" w:hAnsi="方正黑体_GBK" w:cs="宋体" w:eastAsia="方正黑体_GBK"/>
                <w:sz w:val="18"/>
                <w:b/>
                <w:szCs w:val="18"/>
              </w:rPr>
              <w:t>3.本理财产品所有份额的固定管理费自本理财产品成立日（含）至2025年12月31日（含）期间优惠至0.01%。</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杭州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甘肃银行股份有限公司、江苏仪征农村商业银行股份有限公司、金华银行股份有限公司、吉林银行股份有限公司、连云港东方农村商业银行股份有限公司、德州银行股份有限公司、北京农村商业银行股份有限公司、江苏沭阳农村商业银行股份有限公司、湖州银行股份有限公司、江苏灌云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d9ef7bfb"/>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db10086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db10086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db10086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db10086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db10086f"/>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db10086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db10086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db10086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db10086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db10086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db10086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db10086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db10086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db10086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db10086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db10086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db10086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db10086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db10086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db10086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db10086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db10086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db10086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db10086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db10086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db10086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db10086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db10086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db10086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db10086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db10086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db10086f"/>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南银理财珠联璧合鑫逸稳一年245期封闭式公募人民币理财产品</w:t>
      </w:r>
      <w:r>
        <w:rPr>
          <w:rFonts w:ascii="方正黑体_GBK" w:eastAsia="方正黑体_GBK" w:hint="eastAsia" w:hAnsi="方正黑体_GBK"/>
          <w:vanish w:val="0"/>
          <w:color w:val="3D3D3D"/>
          <w:kern w:val="0"/>
          <w:sz w:val="15"/>
          <w:szCs w:val="15"/>
        </w:rPr>
        <w:t>。</w:t>
      </w:r>
    </w:p>
    <w:p>
      <w:pPr>
        <w:pStyle w:val="db10086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db10086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db10086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db10086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db10086f"/>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db10086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db10086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db10086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db10086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db10086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db10086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db10086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db10086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db10086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db10086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db10086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db10086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db10086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db10086f"/>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a4da23c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a4da23c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a4da23c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a4da23c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a4da23c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a4da23c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db10086f"/>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db10086f"/>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db10086f"/>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d9ef7bf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d9ef7bf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a4da23c6"/>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d9ef7bfb"/>
        <w:keepNext w:val="0"/>
        <w:keepLines w:val="0"/>
        <w:pageBreakBefore w:val="0"/>
        <w:widowControl/>
        <w:suppressLineNumbers w:val="0"/>
        <w:suppressAutoHyphens w:val="0"/>
        <w:spacing w:line="200" w:lineRule="exact"/>
        <w:ind w:firstLineChars="200" w:firstLine="300"/>
        <w:rPr>
          <w:rStyle w:val="a4da23c6"/>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d9ef7bf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d9ef7bf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d9ef7bfb"/>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d9ef7bfb"/>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d9ef7bf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d9ef7bf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d9ef7bf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d9ef7bf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d9ef7bf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d9ef7bf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d9ef7bf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d9ef7bf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d9ef7bf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d9ef7bf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d9ef7bf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d9ef7bf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d9ef7bf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d9ef7bf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d9ef7bf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d9ef7bf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d9ef7bf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d9ef7bf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d9ef7bf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d9ef7bf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d9ef7bfb"/>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d9ef7bf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d9ef7bf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d9ef7bf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d9ef7bfb"/>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d9ef7bf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d9ef7bfb"/>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d9ef7bf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d9ef7bf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d9ef7bf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d9ef7bf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d9ef7bf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d9ef7bf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d9ef7bfb"/>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52a5023e">
    <w:name w:val="Normal52a5023e"/>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4b465b22">
    <w:name w:val="heading 14b465b22"/>
    <w:basedOn w:val="52a5023e"/>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b1977083">
    <w:name w:val="heading 2b1977083"/>
    <w:basedOn w:val="52a5023e"/>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df8921fe">
    <w:name w:val="heading 3df8921fe"/>
    <w:basedOn w:val="52a5023e"/>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0e6743c4">
    <w:name w:val="Default Paragraph Font0e6743c4"/>
  </w:style>
  <w:style xmlns:r="http://schemas.openxmlformats.org/officeDocument/2006/relationships" w:type="paragraph" w:styleId="07aba192">
    <w:name w:val="toc 107aba192"/>
    <w:basedOn w:val="52a5023e"/>
    <w:autoRedefine/>
    <w:next w:val="0"/>
  </w:style>
  <w:style xmlns:r="http://schemas.openxmlformats.org/officeDocument/2006/relationships" w:type="paragraph" w:styleId="092451b3">
    <w:name w:val="toc 2092451b3"/>
    <w:basedOn w:val="52a5023e"/>
    <w:autoRedefine/>
    <w:next w:val="0"/>
    <w:pPr>
      <w:ind w:left="420"/>
    </w:pPr>
  </w:style>
  <w:style xmlns:r="http://schemas.openxmlformats.org/officeDocument/2006/relationships" w:type="paragraph" w:styleId="415466d2">
    <w:name w:val="toc 3415466d2"/>
    <w:basedOn w:val="52a5023e"/>
    <w:autoRedefine/>
    <w:next w:val="0"/>
    <w:pPr>
      <w:ind w:left="840"/>
    </w:pPr>
  </w:style>
  <w:style xmlns:r="http://schemas.openxmlformats.org/officeDocument/2006/relationships" w:type="paragraph" w:styleId="bb563e0e">
    <w:name w:val="toc 4bb563e0e"/>
    <w:basedOn w:val="52a5023e"/>
    <w:autoRedefine/>
    <w:next w:val="0"/>
    <w:pPr>
      <w:ind w:left="1260"/>
    </w:pPr>
  </w:style>
  <w:style xmlns:r="http://schemas.openxmlformats.org/officeDocument/2006/relationships" w:type="paragraph" w:styleId="b817913b">
    <w:name w:val="toc 5b817913b"/>
    <w:basedOn w:val="52a5023e"/>
    <w:autoRedefine/>
    <w:next w:val="0"/>
    <w:pPr>
      <w:ind w:left="1680"/>
    </w:pPr>
  </w:style>
  <w:style xmlns:r="http://schemas.openxmlformats.org/officeDocument/2006/relationships" w:type="paragraph" w:styleId="6b8f0174">
    <w:name w:val="header6b8f0174"/>
    <w:basedOn w:val="52a5023e"/>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c27075b3">
    <w:name w:val="footerc27075b3"/>
    <w:basedOn w:val="52a5023e"/>
    <w:pPr>
      <w:tabs>
        <w:tab w:val="center" w:pos="4153"/>
        <w:tab w:val="right" w:pos="8307"/>
      </w:tabs>
      <w:adjustRightInd/>
      <w:snapToGrid w:val="0"/>
      <w:contextualSpacing w:val="0"/>
      <w:jc w:val="left"/>
    </w:pPr>
    <w:rPr>
      <w:sz w:val="18"/>
    </w:rPr>
  </w:style>
  <w:style xmlns:r="http://schemas.openxmlformats.org/officeDocument/2006/relationships" w:type="character" w:styleId="b351cae4">
    <w:name w:val="Strongb351cae4"/>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d9ef7bfb">
    <w:name w:val="Normald9ef7bfb"/>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5d3aa3f2">
    <w:name w:val="heading 15d3aa3f2"/>
    <w:basedOn w:val="d9ef7bfb"/>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ab6d01bf">
    <w:name w:val="heading 2ab6d01bf"/>
    <w:basedOn w:val="d9ef7bfb"/>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8e7e606a">
    <w:name w:val="heading 38e7e606a"/>
    <w:basedOn w:val="d9ef7bfb"/>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0af38b25">
    <w:name w:val="Default Paragraph Font0af38b25"/>
  </w:style>
  <w:style xmlns:r="http://schemas.openxmlformats.org/officeDocument/2006/relationships" w:type="paragraph" w:styleId="73b9460c">
    <w:name w:val="Normal Indent73b9460c"/>
    <w:basedOn w:val="d9ef7bfb"/>
    <w:pPr>
      <w:ind w:firstLineChars="200" w:firstLine="200"/>
    </w:pPr>
  </w:style>
  <w:style xmlns:r="http://schemas.openxmlformats.org/officeDocument/2006/relationships" w:type="paragraph" w:styleId="47880bb3">
    <w:name w:val="toc 547880bb3"/>
    <w:basedOn w:val="d9ef7bfb"/>
    <w:next w:val="0"/>
    <w:pPr>
      <w:ind w:left="1680"/>
    </w:pPr>
  </w:style>
  <w:style xmlns:r="http://schemas.openxmlformats.org/officeDocument/2006/relationships" w:type="paragraph" w:styleId="65632132">
    <w:name w:val="toc 365632132"/>
    <w:basedOn w:val="d9ef7bfb"/>
    <w:next w:val="0"/>
    <w:pPr>
      <w:ind w:left="840"/>
    </w:pPr>
  </w:style>
  <w:style xmlns:r="http://schemas.openxmlformats.org/officeDocument/2006/relationships" w:type="paragraph" w:styleId="263f6286">
    <w:name w:val="footer263f6286"/>
    <w:basedOn w:val="d9ef7bfb"/>
    <w:pPr>
      <w:tabs>
        <w:tab w:val="center" w:pos="4153"/>
        <w:tab w:val="right" w:pos="8307"/>
      </w:tabs>
      <w:adjustRightInd/>
      <w:snapToGrid w:val="0"/>
      <w:contextualSpacing w:val="0"/>
      <w:jc w:val="left"/>
    </w:pPr>
    <w:rPr>
      <w:sz w:val="18"/>
    </w:rPr>
  </w:style>
  <w:style xmlns:r="http://schemas.openxmlformats.org/officeDocument/2006/relationships" w:type="paragraph" w:styleId="bc9deba9">
    <w:name w:val="headerbc9deba9"/>
    <w:basedOn w:val="d9ef7bfb"/>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63727ab">
    <w:name w:val="toc 1163727ab"/>
    <w:basedOn w:val="d9ef7bfb"/>
    <w:next w:val="0"/>
  </w:style>
  <w:style xmlns:r="http://schemas.openxmlformats.org/officeDocument/2006/relationships" w:type="paragraph" w:styleId="eaf1d1d1">
    <w:name w:val="toc 4eaf1d1d1"/>
    <w:basedOn w:val="d9ef7bfb"/>
    <w:next w:val="0"/>
    <w:pPr>
      <w:ind w:left="1260"/>
    </w:pPr>
  </w:style>
  <w:style xmlns:r="http://schemas.openxmlformats.org/officeDocument/2006/relationships" w:type="paragraph" w:styleId="2039c9a3">
    <w:name w:val="toc 22039c9a3"/>
    <w:basedOn w:val="d9ef7bfb"/>
    <w:next w:val="0"/>
    <w:pPr>
      <w:ind w:left="420"/>
    </w:pPr>
  </w:style>
  <w:style xmlns:r="http://schemas.openxmlformats.org/officeDocument/2006/relationships" w:type="paragraph" w:styleId="1facefd5">
    <w:name w:val="Normal (Web)1facefd5"/>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db10086f">
    <w:name w:val="Normaldb10086fdb10086f"/>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6c30229d">
    <w:name w:val="heading 16c30229d6c30229d"/>
    <w:basedOn w:val="db10086f"/>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cfb1336">
    <w:name w:val="heading 2dcfb1336dcfb1336"/>
    <w:basedOn w:val="db10086f"/>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5b962396">
    <w:name w:val="heading 35b9623965b962396"/>
    <w:basedOn w:val="db10086f"/>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326391e6">
    <w:name w:val="Default Paragraph Font326391e6326391e6"/>
  </w:style>
  <w:style xmlns:r="http://schemas.openxmlformats.org/officeDocument/2006/relationships" w:type="paragraph" w:customStyle="1" w:styleId="981fa334">
    <w:name w:val="引文目录1981fa334981fa334"/>
    <w:basedOn w:val="db10086f"/>
    <w:next w:val="0"/>
    <w:pPr>
      <w:ind w:leftChars="200" w:left="200"/>
    </w:pPr>
  </w:style>
  <w:style xmlns:r="http://schemas.openxmlformats.org/officeDocument/2006/relationships" w:type="paragraph" w:styleId="c0ecdf26">
    <w:name w:val="toc 5c0ecdf26c0ecdf26"/>
    <w:basedOn w:val="db10086f"/>
    <w:next w:val="0"/>
    <w:pPr>
      <w:ind w:left="1680"/>
    </w:pPr>
  </w:style>
  <w:style xmlns:r="http://schemas.openxmlformats.org/officeDocument/2006/relationships" w:type="paragraph" w:styleId="6cbd9b6a">
    <w:name w:val="toc 36cbd9b6a6cbd9b6a"/>
    <w:basedOn w:val="db10086f"/>
    <w:next w:val="0"/>
    <w:pPr>
      <w:ind w:left="840"/>
    </w:pPr>
  </w:style>
  <w:style xmlns:r="http://schemas.openxmlformats.org/officeDocument/2006/relationships" w:type="paragraph" w:styleId="5136ae29">
    <w:name w:val="footer5136ae295136ae29"/>
    <w:basedOn w:val="db10086f"/>
    <w:pPr>
      <w:tabs>
        <w:tab w:val="center" w:pos="4153"/>
        <w:tab w:val="right" w:pos="8307"/>
      </w:tabs>
      <w:adjustRightInd/>
      <w:snapToGrid w:val="0"/>
      <w:contextualSpacing w:val="0"/>
      <w:jc w:val="left"/>
    </w:pPr>
    <w:rPr>
      <w:sz w:val="18"/>
    </w:rPr>
  </w:style>
  <w:style xmlns:r="http://schemas.openxmlformats.org/officeDocument/2006/relationships" w:type="paragraph" w:styleId="546fb523">
    <w:name w:val="header546fb523546fb523"/>
    <w:basedOn w:val="db10086f"/>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8e412ed7">
    <w:name w:val="toc 18e412ed78e412ed7"/>
    <w:basedOn w:val="db10086f"/>
    <w:next w:val="0"/>
  </w:style>
  <w:style xmlns:r="http://schemas.openxmlformats.org/officeDocument/2006/relationships" w:type="paragraph" w:styleId="31b4787a">
    <w:name w:val="toc 431b4787a31b4787a"/>
    <w:basedOn w:val="db10086f"/>
    <w:next w:val="0"/>
    <w:pPr>
      <w:ind w:left="1260"/>
    </w:pPr>
  </w:style>
  <w:style xmlns:r="http://schemas.openxmlformats.org/officeDocument/2006/relationships" w:type="paragraph" w:styleId="d1e3783a">
    <w:name w:val="toc 2d1e3783ad1e3783a"/>
    <w:basedOn w:val="db10086f"/>
    <w:next w:val="0"/>
    <w:pPr>
      <w:ind w:left="420"/>
    </w:pPr>
  </w:style>
  <w:style xmlns:r="http://schemas.openxmlformats.org/officeDocument/2006/relationships" w:type="paragraph" w:customStyle="1" w:styleId="a4da23c6">
    <w:name w:val="列出段落1a4da23c6a4da23c6"/>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