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D287AF">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231FFFB7">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105CC4E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封闭式、固定收益类、公募、净值型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4F70C11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540D801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5D989FE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6581E3B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191C4D2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402FE3A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0A03A4A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4A2076F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351CC0A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702E67C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17E2C6E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10EDFBC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75EE6B3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4DD1CD5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5CA0C7D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6F414D0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3AC504A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61E6B66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40FABA7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41728A7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72ECBC3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65FA41D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5E1FCB9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5CAF0F80">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51155960">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7B2A2C81">
      <w:pPr>
        <w:spacing w:line="200" w:lineRule="exact"/>
      </w:pPr>
      <w:r>
        <w:rPr>
          <w:rFonts w:ascii="方正黑体_GBK" w:hAnsi="方正黑体_GBK" w:eastAsia="方正黑体_GBK" w:cs="宋体"/>
          <w:b/>
          <w:sz w:val="13"/>
          <w:szCs w:val="20"/>
        </w:rPr>
        <w:t xml:space="preserve">    1.债券类资产投资风险</w:t>
      </w:r>
    </w:p>
    <w:p w14:paraId="5594B7C9">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31828EE5">
      <w:pPr>
        <w:spacing w:line="200" w:lineRule="exact"/>
      </w:pPr>
      <w:r>
        <w:rPr>
          <w:rFonts w:ascii="方正黑体_GBK" w:hAnsi="方正黑体_GBK" w:eastAsia="方正黑体_GBK" w:cs="宋体"/>
          <w:b/>
          <w:sz w:val="13"/>
          <w:szCs w:val="20"/>
        </w:rPr>
        <w:t xml:space="preserve">    2.非标准化债权类资产投资风险</w:t>
      </w:r>
    </w:p>
    <w:p w14:paraId="3F3666B7">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1427A09D">
      <w:pPr>
        <w:spacing w:line="200" w:lineRule="exact"/>
      </w:pPr>
      <w:r>
        <w:rPr>
          <w:rFonts w:ascii="方正黑体_GBK" w:hAnsi="方正黑体_GBK" w:eastAsia="方正黑体_GBK" w:cs="宋体"/>
          <w:b/>
          <w:sz w:val="13"/>
          <w:szCs w:val="20"/>
        </w:rPr>
        <w:t xml:space="preserve">    3.资产管理产品投资风险</w:t>
      </w:r>
    </w:p>
    <w:p w14:paraId="4E2C99C8">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191975D8">
      <w:pPr>
        <w:spacing w:line="200" w:lineRule="exact"/>
      </w:pPr>
      <w:r>
        <w:rPr>
          <w:rFonts w:ascii="方正黑体_GBK" w:hAnsi="方正黑体_GBK" w:eastAsia="方正黑体_GBK" w:cs="宋体"/>
          <w:b/>
          <w:sz w:val="13"/>
          <w:szCs w:val="20"/>
        </w:rPr>
        <w:t xml:space="preserve">    4.非标准化债权类资产无法投资的风险</w:t>
      </w:r>
    </w:p>
    <w:p w14:paraId="0D0A2E45">
      <w:pPr>
        <w:spacing w:line="200" w:lineRule="exact"/>
      </w:pPr>
      <w:r>
        <w:rPr>
          <w:rFonts w:ascii="方正黑体_GBK" w:hAnsi="方正黑体_GBK" w:eastAsia="方正黑体_GBK"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type="textWrapping"/>
      </w:r>
      <w:r>
        <w:rPr>
          <w:rFonts w:ascii="方正黑体_GBK" w:hAnsi="方正黑体_GBK" w:eastAsia="方正黑体_GBK"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type="textWrapping"/>
      </w:r>
      <w:r>
        <w:rPr>
          <w:rFonts w:ascii="方正黑体_GBK" w:hAnsi="方正黑体_GBK" w:eastAsia="方正黑体_GBK" w:cs="宋体"/>
          <w:b/>
          <w:sz w:val="13"/>
          <w:szCs w:val="20"/>
        </w:rPr>
        <w:t xml:space="preserve">    （2）若本理财产品已成立，则管理人有权提前终止本理财产品，自产品成立至提前终止日期间不计任何收益。</w:t>
      </w:r>
    </w:p>
    <w:p w14:paraId="6C9ACF4C">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类型：封闭式、固定收益类、公募、净值型。</w:t>
      </w:r>
    </w:p>
    <w:p w14:paraId="741E7DF0">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99天</w:t>
      </w:r>
      <w:r>
        <w:rPr>
          <w:rFonts w:hint="eastAsia" w:ascii="方正黑体_GBK" w:hAnsi="方正黑体_GBK" w:eastAsia="方正黑体_GBK"/>
          <w:b/>
          <w:bCs w:val="0"/>
          <w:vanish w:val="0"/>
          <w:color w:val="3D3D3D"/>
          <w:kern w:val="0"/>
          <w:sz w:val="13"/>
          <w:szCs w:val="13"/>
        </w:rPr>
        <w:t>。</w:t>
      </w:r>
    </w:p>
    <w:p w14:paraId="4567448F">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047D92D8">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49A7B303">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符合相关法律法规、监管规定要求的，经销售机构的风险承受能力评估体系评定为适合的个人和机构投资者。</w:t>
      </w:r>
    </w:p>
    <w:p w14:paraId="6851ECA6">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77747C42">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576DAC9C">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35B054EB">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5DEE0A45">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0BCA6868">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3684DDE8">
      <w:pPr>
        <w:pStyle w:val="15"/>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164D40C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1E61612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68959CB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426B4264">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02E8E0D3">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02205A6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18849A7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014091CA">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38074245">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4C68082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314B96F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1A7AB6E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16DCD44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3D48EEC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078FAAC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2B5C461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78BF899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3984880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7DC578DE">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1125B6B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74D9467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631A66F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7189F95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1AE56EC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4DEADB5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43728F0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2BD0ED2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2680DE6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3361383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2D9CAEE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0009200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6B754BC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7F8F856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0"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6DB39772">
      <w:pPr>
        <w:pStyle w:val="29"/>
        <w:tabs>
          <w:tab w:val="left" w:pos="8033"/>
        </w:tabs>
        <w:ind w:left="0" w:firstLine="0"/>
        <w:jc w:val="left"/>
        <w:rPr>
          <w:rFonts w:hint="eastAsia" w:ascii="方正黑体_GBK" w:hAnsi="方正黑体_GBK" w:eastAsia="方正黑体_GBK"/>
          <w:sz w:val="20"/>
          <w:szCs w:val="20"/>
          <w:lang w:val="en-US" w:eastAsia="zh-CN"/>
        </w:rPr>
      </w:pPr>
      <w:bookmarkStart w:id="0" w:name="_GoBack"/>
      <w:bookmarkEnd w:id="0"/>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AE0680">
    <w:pPr>
      <w:pStyle w:val="8"/>
      <w:jc w:val="right"/>
    </w:pPr>
    <w:r>
      <w:t>南银理财理财产品销售文件（2021第2版）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41C2186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uiPriority w:val="0"/>
    <w:pPr>
      <w:ind w:left="840"/>
    </w:pPr>
  </w:style>
  <w:style w:type="paragraph" w:styleId="7">
    <w:name w:val="footer"/>
    <w:basedOn w:val="1"/>
    <w:uiPriority w:val="0"/>
    <w:pPr>
      <w:tabs>
        <w:tab w:val="center" w:pos="4153"/>
        <w:tab w:val="right" w:pos="8307"/>
      </w:tabs>
      <w:adjustRightInd/>
      <w:snapToGrid w:val="0"/>
      <w:contextualSpacing w:val="0"/>
      <w:jc w:val="left"/>
    </w:pPr>
    <w:rPr>
      <w:sz w:val="18"/>
    </w:rPr>
  </w:style>
  <w:style w:type="paragraph" w:styleId="8">
    <w:name w:val="header"/>
    <w:basedOn w:val="1"/>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uiPriority w:val="0"/>
  </w:style>
  <w:style w:type="paragraph" w:styleId="10">
    <w:name w:val="toc 4"/>
    <w:basedOn w:val="1"/>
    <w:next w:val="1"/>
    <w:autoRedefine/>
    <w:uiPriority w:val="0"/>
    <w:pPr>
      <w:ind w:left="1260"/>
    </w:pPr>
  </w:style>
  <w:style w:type="paragraph" w:styleId="11">
    <w:name w:val="toc 2"/>
    <w:basedOn w:val="1"/>
    <w:next w:val="1"/>
    <w:autoRedefine/>
    <w:uiPriority w:val="0"/>
    <w:pPr>
      <w:ind w:left="420"/>
    </w:pPr>
  </w:style>
  <w:style w:type="character" w:styleId="14">
    <w:name w:val="Strong"/>
    <w:uiPriority w:val="0"/>
    <w:rPr>
      <w:b/>
    </w:rPr>
  </w:style>
  <w:style w:type="paragraph" w:customStyle="1" w:styleId="15">
    <w:name w:val="Normal50532d7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03f391f5"/>
    <w:basedOn w:val="15"/>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3c224149"/>
    <w:basedOn w:val="15"/>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bd693b3f"/>
    <w:basedOn w:val="15"/>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6942f754"/>
    <w:uiPriority w:val="0"/>
  </w:style>
  <w:style w:type="paragraph" w:customStyle="1" w:styleId="20">
    <w:name w:val="toc 11a4a6afa"/>
    <w:basedOn w:val="15"/>
    <w:next w:val="1"/>
    <w:autoRedefine/>
    <w:uiPriority w:val="0"/>
  </w:style>
  <w:style w:type="paragraph" w:customStyle="1" w:styleId="21">
    <w:name w:val="toc 275491066"/>
    <w:basedOn w:val="15"/>
    <w:next w:val="1"/>
    <w:autoRedefine/>
    <w:uiPriority w:val="0"/>
    <w:pPr>
      <w:ind w:left="420"/>
    </w:pPr>
  </w:style>
  <w:style w:type="paragraph" w:customStyle="1" w:styleId="22">
    <w:name w:val="toc 3e371a3c3"/>
    <w:basedOn w:val="15"/>
    <w:next w:val="1"/>
    <w:autoRedefine/>
    <w:uiPriority w:val="0"/>
    <w:pPr>
      <w:ind w:left="840"/>
    </w:pPr>
  </w:style>
  <w:style w:type="paragraph" w:customStyle="1" w:styleId="23">
    <w:name w:val="toc 4807cbf6e"/>
    <w:basedOn w:val="15"/>
    <w:next w:val="1"/>
    <w:autoRedefine/>
    <w:uiPriority w:val="0"/>
    <w:pPr>
      <w:ind w:left="1260"/>
    </w:pPr>
  </w:style>
  <w:style w:type="paragraph" w:customStyle="1" w:styleId="24">
    <w:name w:val="toc 587df9a86"/>
    <w:basedOn w:val="15"/>
    <w:next w:val="1"/>
    <w:autoRedefine/>
    <w:uiPriority w:val="0"/>
    <w:pPr>
      <w:ind w:left="1680"/>
    </w:pPr>
  </w:style>
  <w:style w:type="paragraph" w:customStyle="1" w:styleId="25">
    <w:name w:val="header7c010609"/>
    <w:basedOn w:val="15"/>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d167484c"/>
    <w:basedOn w:val="15"/>
    <w:uiPriority w:val="0"/>
    <w:pPr>
      <w:tabs>
        <w:tab w:val="center" w:pos="4153"/>
        <w:tab w:val="right" w:pos="8307"/>
      </w:tabs>
      <w:adjustRightInd/>
      <w:snapToGrid w:val="0"/>
      <w:contextualSpacing w:val="0"/>
      <w:jc w:val="left"/>
    </w:pPr>
    <w:rPr>
      <w:sz w:val="18"/>
    </w:rPr>
  </w:style>
  <w:style w:type="character" w:customStyle="1" w:styleId="27">
    <w:name w:val="Strong04b22b7a"/>
    <w:uiPriority w:val="0"/>
    <w:rPr>
      <w:b/>
    </w:rPr>
  </w:style>
  <w:style w:type="paragraph" w:customStyle="1" w:styleId="28">
    <w:name w:val="annotation text23"/>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3e18c0c4"/>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9f147bf5"/>
    <w:basedOn w:val="29"/>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0581b5f8"/>
    <w:basedOn w:val="29"/>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53a62861"/>
    <w:basedOn w:val="29"/>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2cf11ccd"/>
    <w:uiPriority w:val="0"/>
  </w:style>
  <w:style w:type="paragraph" w:customStyle="1" w:styleId="34">
    <w:name w:val="Normal Indent1620de2c"/>
    <w:basedOn w:val="29"/>
    <w:uiPriority w:val="0"/>
    <w:pPr>
      <w:ind w:firstLine="200" w:firstLineChars="200"/>
    </w:pPr>
  </w:style>
  <w:style w:type="paragraph" w:customStyle="1" w:styleId="35">
    <w:name w:val="toc 5f1784d0e"/>
    <w:basedOn w:val="29"/>
    <w:next w:val="1"/>
    <w:uiPriority w:val="0"/>
    <w:pPr>
      <w:ind w:left="1680"/>
    </w:pPr>
  </w:style>
  <w:style w:type="paragraph" w:customStyle="1" w:styleId="36">
    <w:name w:val="toc 37e7372b7"/>
    <w:basedOn w:val="29"/>
    <w:next w:val="1"/>
    <w:uiPriority w:val="0"/>
    <w:pPr>
      <w:ind w:left="840"/>
    </w:pPr>
  </w:style>
  <w:style w:type="paragraph" w:customStyle="1" w:styleId="37">
    <w:name w:val="footere512a1ba"/>
    <w:basedOn w:val="29"/>
    <w:uiPriority w:val="0"/>
    <w:pPr>
      <w:tabs>
        <w:tab w:val="center" w:pos="4153"/>
        <w:tab w:val="right" w:pos="8307"/>
      </w:tabs>
      <w:adjustRightInd/>
      <w:snapToGrid w:val="0"/>
      <w:contextualSpacing w:val="0"/>
      <w:jc w:val="left"/>
    </w:pPr>
    <w:rPr>
      <w:sz w:val="18"/>
    </w:rPr>
  </w:style>
  <w:style w:type="paragraph" w:customStyle="1" w:styleId="38">
    <w:name w:val="headerfcbd1e13"/>
    <w:basedOn w:val="29"/>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f9015881"/>
    <w:basedOn w:val="29"/>
    <w:next w:val="1"/>
    <w:uiPriority w:val="0"/>
  </w:style>
  <w:style w:type="paragraph" w:customStyle="1" w:styleId="40">
    <w:name w:val="toc 4f28c77a5"/>
    <w:basedOn w:val="29"/>
    <w:next w:val="1"/>
    <w:uiPriority w:val="0"/>
    <w:pPr>
      <w:ind w:left="1260"/>
    </w:pPr>
  </w:style>
  <w:style w:type="paragraph" w:customStyle="1" w:styleId="41">
    <w:name w:val="toc 2d0510715"/>
    <w:basedOn w:val="29"/>
    <w:next w:val="1"/>
    <w:uiPriority w:val="0"/>
    <w:pPr>
      <w:ind w:left="420"/>
    </w:pPr>
  </w:style>
  <w:style w:type="paragraph" w:customStyle="1" w:styleId="42">
    <w:name w:val="Normal (Web)5b2480ca"/>
    <w:next w:val="8"/>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e64345ade64345ad"/>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a0a11566a0a11566"/>
    <w:basedOn w:val="44"/>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4d74f2214d74f221"/>
    <w:basedOn w:val="44"/>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04e6877804e68778"/>
    <w:basedOn w:val="44"/>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4e3bcd6e4e3bcd6e"/>
    <w:uiPriority w:val="0"/>
  </w:style>
  <w:style w:type="paragraph" w:customStyle="1" w:styleId="49">
    <w:name w:val="引文目录1077cef27077cef27"/>
    <w:basedOn w:val="44"/>
    <w:next w:val="1"/>
    <w:uiPriority w:val="0"/>
    <w:pPr>
      <w:ind w:left="200" w:leftChars="200"/>
    </w:pPr>
  </w:style>
  <w:style w:type="paragraph" w:customStyle="1" w:styleId="50">
    <w:name w:val="toc 512f8f37c12f8f37c"/>
    <w:basedOn w:val="44"/>
    <w:next w:val="1"/>
    <w:uiPriority w:val="0"/>
    <w:pPr>
      <w:ind w:left="1680"/>
    </w:pPr>
  </w:style>
  <w:style w:type="paragraph" w:customStyle="1" w:styleId="51">
    <w:name w:val="toc 3c6f7bc03c6f7bc03"/>
    <w:basedOn w:val="44"/>
    <w:next w:val="1"/>
    <w:uiPriority w:val="0"/>
    <w:pPr>
      <w:ind w:left="840"/>
    </w:pPr>
  </w:style>
  <w:style w:type="paragraph" w:customStyle="1" w:styleId="52">
    <w:name w:val="footerbfdec58cbfdec58c"/>
    <w:basedOn w:val="44"/>
    <w:uiPriority w:val="0"/>
    <w:pPr>
      <w:tabs>
        <w:tab w:val="center" w:pos="4153"/>
        <w:tab w:val="right" w:pos="8307"/>
      </w:tabs>
      <w:adjustRightInd/>
      <w:snapToGrid w:val="0"/>
      <w:contextualSpacing w:val="0"/>
      <w:jc w:val="left"/>
    </w:pPr>
    <w:rPr>
      <w:sz w:val="18"/>
    </w:rPr>
  </w:style>
  <w:style w:type="paragraph" w:customStyle="1" w:styleId="53">
    <w:name w:val="header814e2238814e2238"/>
    <w:basedOn w:val="44"/>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d0dd652ad0dd652a"/>
    <w:basedOn w:val="44"/>
    <w:next w:val="1"/>
    <w:uiPriority w:val="0"/>
  </w:style>
  <w:style w:type="paragraph" w:customStyle="1" w:styleId="55">
    <w:name w:val="toc 4fdddaba5fdddaba5"/>
    <w:basedOn w:val="44"/>
    <w:next w:val="1"/>
    <w:uiPriority w:val="0"/>
    <w:pPr>
      <w:ind w:left="1260"/>
    </w:pPr>
  </w:style>
  <w:style w:type="paragraph" w:customStyle="1" w:styleId="56">
    <w:name w:val="toc 21f9ffda81f9ffda8"/>
    <w:basedOn w:val="44"/>
    <w:next w:val="1"/>
    <w:uiPriority w:val="0"/>
    <w:pPr>
      <w:ind w:left="420"/>
    </w:pPr>
  </w:style>
  <w:style w:type="paragraph" w:customStyle="1" w:styleId="57">
    <w:name w:val="列出段落18d1677488d167748"/>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3</Pages>
  <Words>13516</Words>
  <Characters>13857</Characters>
  <Lines>77</Lines>
  <Paragraphs>27</Paragraphs>
  <TotalTime>9</TotalTime>
  <ScaleCrop>false</ScaleCrop>
  <LinksUpToDate>false</LinksUpToDate>
  <CharactersWithSpaces>13979</CharactersWithSpaces>
  <Application>WPS Office_12.1.0.23125_F1E327BC-269C-435d-A152-05C5408002CA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泠</cp:lastModifiedBy>
  <dcterms:modified xsi:type="dcterms:W3CDTF">2025-10-23T02:35:47Z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02AEF6DED8204361AEB85E71A6BDE641</vt:lpwstr>
  </property>
  <property fmtid="{D5CDD505-2E9C-101B-9397-08002B2CF9AE}" pid="4" name="KSOTemplateDocerSaveRecord">
    <vt:lpwstr>eyJoZGlkIjoiZjFmZWIzNDg2MmIzZjExOTIzMmViNTBmYTMwYTk0ZWYiLCJ1c2VySWQiOiI0NDE5NjY1MTMifQ==</vt:lpwstr>
  </property>
</Properties>
</file>