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0" w:lineRule="atLeast"/>
        <w:jc w:val="center"/>
        <w:outlineLvl w:val="0"/>
        <w:rPr>
          <w:rFonts w:ascii="方正小标宋_GBK" w:hAnsi="宋体" w:eastAsia="方正小标宋_GBK" w:cs="Times New Roman"/>
          <w:b/>
          <w:sz w:val="44"/>
          <w:szCs w:val="44"/>
        </w:rPr>
      </w:pPr>
      <w:r>
        <w:rPr>
          <w:rFonts w:hint="eastAsia" w:ascii="方正小标宋_GBK" w:hAnsi="宋体" w:eastAsia="方正小标宋_GBK" w:cs="Times New Roman"/>
          <w:b/>
          <w:sz w:val="44"/>
          <w:szCs w:val="44"/>
        </w:rPr>
        <w:t>射阳农商银行关于银行函证业务相关事项的公告</w:t>
      </w:r>
    </w:p>
    <w:p>
      <w:pPr>
        <w:pStyle w:val="4"/>
        <w:widowControl/>
        <w:spacing w:beforeAutospacing="0" w:afterAutospacing="0" w:line="560" w:lineRule="exact"/>
        <w:ind w:firstLine="640" w:firstLineChars="200"/>
        <w:jc w:val="both"/>
        <w:rPr>
          <w:rFonts w:ascii="仿宋_GB2312" w:hAnsi="微软雅黑" w:eastAsia="仿宋_GB2312" w:cs="微软雅黑"/>
          <w:color w:val="auto"/>
          <w:sz w:val="32"/>
          <w:szCs w:val="32"/>
        </w:rPr>
      </w:pPr>
      <w:r>
        <w:rPr>
          <w:rFonts w:hint="eastAsia" w:ascii="仿宋_GB2312" w:hAnsi="微软雅黑" w:eastAsia="仿宋_GB2312" w:cs="微软雅黑"/>
          <w:color w:val="auto"/>
          <w:sz w:val="32"/>
          <w:szCs w:val="32"/>
        </w:rPr>
        <w:t>根据《关于加快推进银行函证规范化、集约化、数字化建设的通知》（财会〔2022〕3</w:t>
      </w:r>
      <w:bookmarkStart w:id="0" w:name="_GoBack"/>
      <w:bookmarkEnd w:id="0"/>
      <w:r>
        <w:rPr>
          <w:rFonts w:hint="eastAsia" w:ascii="仿宋_GB2312" w:hAnsi="微软雅黑" w:eastAsia="仿宋_GB2312" w:cs="微软雅黑"/>
          <w:color w:val="auto"/>
          <w:sz w:val="32"/>
          <w:szCs w:val="32"/>
        </w:rPr>
        <w:t>9号）（以下简称《通知》）及《银行函证工作操作指引》（财办会〔2024〕2号）（以下简称《指引》）要求，现将我行银行询证函及回函业务相关事项进一步公告如下：</w:t>
      </w:r>
    </w:p>
    <w:p>
      <w:pPr>
        <w:pStyle w:val="4"/>
        <w:widowControl/>
        <w:spacing w:beforeAutospacing="0" w:afterAutospacing="0" w:line="560" w:lineRule="exact"/>
        <w:ind w:firstLine="630" w:firstLineChars="196"/>
        <w:jc w:val="both"/>
        <w:rPr>
          <w:rFonts w:ascii="黑体" w:hAnsi="微软雅黑" w:eastAsia="黑体" w:cs="微软雅黑"/>
          <w:color w:val="auto"/>
          <w:sz w:val="32"/>
          <w:szCs w:val="32"/>
        </w:rPr>
      </w:pPr>
      <w:r>
        <w:rPr>
          <w:rStyle w:val="7"/>
          <w:rFonts w:hint="eastAsia" w:ascii="黑体" w:hAnsi="微软雅黑" w:eastAsia="黑体" w:cs="微软雅黑"/>
          <w:color w:val="auto"/>
          <w:sz w:val="32"/>
          <w:szCs w:val="32"/>
        </w:rPr>
        <w:t>一、业务范围</w:t>
      </w:r>
    </w:p>
    <w:p>
      <w:pPr>
        <w:widowControl/>
        <w:spacing w:line="560" w:lineRule="exact"/>
        <w:ind w:firstLine="640" w:firstLineChars="200"/>
        <w:rPr>
          <w:rFonts w:ascii="仿宋_GB2312" w:hAnsi="微软雅黑" w:eastAsia="仿宋_GB2312" w:cs="微软雅黑"/>
          <w:color w:val="auto"/>
          <w:kern w:val="0"/>
          <w:sz w:val="32"/>
          <w:szCs w:val="32"/>
        </w:rPr>
      </w:pPr>
      <w:r>
        <w:rPr>
          <w:rFonts w:hint="eastAsia" w:ascii="仿宋_GB2312" w:hAnsi="微软雅黑" w:eastAsia="仿宋_GB2312" w:cs="微软雅黑"/>
          <w:color w:val="auto"/>
          <w:kern w:val="0"/>
          <w:sz w:val="32"/>
          <w:szCs w:val="32"/>
        </w:rPr>
        <w:t>银行函证及回函业务，是指会计师事务所等第三方机构在获取我行被审计单位授权后，以函件方式向我行发送询证函，我行针对收到的询证函，查询、核对相关信息，以函件方式书面回复有关情况的业务。银行函证范围及要求应符合《通知》及《指引》的相关规定。</w:t>
      </w:r>
    </w:p>
    <w:p>
      <w:pPr>
        <w:pStyle w:val="4"/>
        <w:widowControl/>
        <w:spacing w:beforeAutospacing="0" w:afterAutospacing="0" w:line="560" w:lineRule="exact"/>
        <w:ind w:firstLine="630" w:firstLineChars="196"/>
        <w:jc w:val="both"/>
        <w:rPr>
          <w:rFonts w:ascii="仿宋_GB2312" w:hAnsi="微软雅黑" w:eastAsia="仿宋_GB2312" w:cs="微软雅黑"/>
          <w:color w:val="auto"/>
          <w:sz w:val="32"/>
          <w:szCs w:val="32"/>
        </w:rPr>
      </w:pPr>
      <w:r>
        <w:rPr>
          <w:rStyle w:val="7"/>
          <w:rFonts w:hint="eastAsia" w:ascii="黑体" w:hAnsi="微软雅黑" w:eastAsia="黑体" w:cs="微软雅黑"/>
          <w:color w:val="auto"/>
          <w:sz w:val="32"/>
          <w:szCs w:val="32"/>
        </w:rPr>
        <w:t>二、受理机构</w:t>
      </w:r>
    </w:p>
    <w:p>
      <w:pPr>
        <w:pStyle w:val="4"/>
        <w:widowControl/>
        <w:spacing w:beforeAutospacing="0" w:afterAutospacing="0" w:line="560" w:lineRule="exact"/>
        <w:ind w:firstLine="640" w:firstLineChars="200"/>
        <w:jc w:val="both"/>
        <w:rPr>
          <w:rFonts w:ascii="仿宋_GB2312" w:hAnsi="微软雅黑" w:eastAsia="仿宋_GB2312" w:cs="微软雅黑"/>
          <w:color w:val="auto"/>
          <w:sz w:val="32"/>
          <w:szCs w:val="32"/>
        </w:rPr>
      </w:pPr>
      <w:r>
        <w:rPr>
          <w:rFonts w:hint="eastAsia" w:ascii="仿宋_GB2312" w:hAnsi="微软雅黑" w:eastAsia="仿宋_GB2312" w:cs="微软雅黑"/>
          <w:color w:val="auto"/>
          <w:sz w:val="32"/>
          <w:szCs w:val="32"/>
        </w:rPr>
        <w:t>银行询证函业务（第1-14项及附表）受理、回函及邮寄由我行运营管理部清算中心统一处理。</w:t>
      </w:r>
    </w:p>
    <w:tbl>
      <w:tblPr>
        <w:tblStyle w:val="5"/>
        <w:tblW w:w="8900" w:type="dxa"/>
        <w:tblInd w:w="0" w:type="dxa"/>
        <w:tblLayout w:type="fixed"/>
        <w:tblCellMar>
          <w:top w:w="0" w:type="dxa"/>
          <w:left w:w="0" w:type="dxa"/>
          <w:bottom w:w="0" w:type="dxa"/>
          <w:right w:w="0" w:type="dxa"/>
        </w:tblCellMar>
      </w:tblPr>
      <w:tblGrid>
        <w:gridCol w:w="2838"/>
        <w:gridCol w:w="2407"/>
        <w:gridCol w:w="1562"/>
        <w:gridCol w:w="2093"/>
      </w:tblGrid>
      <w:tr>
        <w:tblPrEx>
          <w:tblCellMar>
            <w:top w:w="0" w:type="dxa"/>
            <w:left w:w="0" w:type="dxa"/>
            <w:bottom w:w="0" w:type="dxa"/>
            <w:right w:w="0" w:type="dxa"/>
          </w:tblCellMar>
        </w:tblPrEx>
        <w:tc>
          <w:tcPr>
            <w:tcW w:w="2838" w:type="dxa"/>
            <w:tcBorders>
              <w:top w:val="single" w:color="auto" w:sz="2" w:space="0"/>
              <w:left w:val="single" w:color="auto" w:sz="2" w:space="0"/>
              <w:bottom w:val="single" w:color="auto" w:sz="2" w:space="0"/>
              <w:right w:val="single" w:color="auto" w:sz="2" w:space="0"/>
            </w:tcBorders>
            <w:shd w:val="clear" w:color="auto" w:fill="auto"/>
            <w:vAlign w:val="center"/>
          </w:tcPr>
          <w:p>
            <w:pPr>
              <w:pStyle w:val="4"/>
              <w:widowControl/>
              <w:spacing w:beforeAutospacing="0" w:afterAutospacing="0" w:line="560" w:lineRule="exact"/>
              <w:ind w:firstLine="200"/>
              <w:jc w:val="center"/>
              <w:rPr>
                <w:rFonts w:ascii="仿宋_GB2312" w:hAnsi="微软雅黑" w:eastAsia="仿宋_GB2312" w:cs="微软雅黑"/>
                <w:color w:val="auto"/>
                <w:sz w:val="28"/>
                <w:szCs w:val="28"/>
              </w:rPr>
            </w:pPr>
            <w:r>
              <w:rPr>
                <w:rFonts w:hint="eastAsia" w:ascii="仿宋_GB2312" w:hAnsi="微软雅黑" w:eastAsia="仿宋_GB2312" w:cs="微软雅黑"/>
                <w:color w:val="auto"/>
                <w:sz w:val="28"/>
                <w:szCs w:val="28"/>
              </w:rPr>
              <w:t>受理部门</w:t>
            </w:r>
          </w:p>
        </w:tc>
        <w:tc>
          <w:tcPr>
            <w:tcW w:w="2407" w:type="dxa"/>
            <w:tcBorders>
              <w:top w:val="single" w:color="auto" w:sz="2" w:space="0"/>
              <w:left w:val="nil"/>
              <w:bottom w:val="single" w:color="auto" w:sz="2" w:space="0"/>
              <w:right w:val="single" w:color="auto" w:sz="2" w:space="0"/>
            </w:tcBorders>
            <w:shd w:val="clear" w:color="auto" w:fill="auto"/>
            <w:vAlign w:val="center"/>
          </w:tcPr>
          <w:p>
            <w:pPr>
              <w:pStyle w:val="4"/>
              <w:widowControl/>
              <w:spacing w:beforeAutospacing="0" w:afterAutospacing="0" w:line="560" w:lineRule="exact"/>
              <w:ind w:firstLine="200"/>
              <w:jc w:val="center"/>
              <w:rPr>
                <w:rFonts w:ascii="仿宋_GB2312" w:hAnsi="微软雅黑" w:eastAsia="仿宋_GB2312" w:cs="微软雅黑"/>
                <w:color w:val="auto"/>
                <w:sz w:val="28"/>
                <w:szCs w:val="28"/>
              </w:rPr>
            </w:pPr>
            <w:r>
              <w:rPr>
                <w:rFonts w:hint="eastAsia" w:ascii="仿宋_GB2312" w:hAnsi="微软雅黑" w:eastAsia="仿宋_GB2312" w:cs="微软雅黑"/>
                <w:color w:val="auto"/>
                <w:sz w:val="28"/>
                <w:szCs w:val="28"/>
              </w:rPr>
              <w:t>详细地址</w:t>
            </w:r>
          </w:p>
        </w:tc>
        <w:tc>
          <w:tcPr>
            <w:tcW w:w="1562" w:type="dxa"/>
            <w:tcBorders>
              <w:top w:val="single" w:color="auto" w:sz="2" w:space="0"/>
              <w:left w:val="nil"/>
              <w:bottom w:val="single" w:color="auto" w:sz="2" w:space="0"/>
              <w:right w:val="single" w:color="auto" w:sz="2" w:space="0"/>
            </w:tcBorders>
            <w:shd w:val="clear" w:color="auto" w:fill="auto"/>
            <w:vAlign w:val="center"/>
          </w:tcPr>
          <w:p>
            <w:pPr>
              <w:pStyle w:val="4"/>
              <w:widowControl/>
              <w:spacing w:beforeAutospacing="0" w:afterAutospacing="0" w:line="560" w:lineRule="exact"/>
              <w:ind w:firstLine="200"/>
              <w:jc w:val="center"/>
              <w:rPr>
                <w:rFonts w:ascii="仿宋_GB2312" w:hAnsi="微软雅黑" w:eastAsia="仿宋_GB2312" w:cs="微软雅黑"/>
                <w:color w:val="auto"/>
                <w:sz w:val="28"/>
                <w:szCs w:val="28"/>
              </w:rPr>
            </w:pPr>
            <w:r>
              <w:rPr>
                <w:rFonts w:hint="eastAsia" w:ascii="仿宋_GB2312" w:hAnsi="微软雅黑" w:eastAsia="仿宋_GB2312" w:cs="微软雅黑"/>
                <w:color w:val="auto"/>
                <w:sz w:val="28"/>
                <w:szCs w:val="28"/>
              </w:rPr>
              <w:t>收件人</w:t>
            </w:r>
          </w:p>
        </w:tc>
        <w:tc>
          <w:tcPr>
            <w:tcW w:w="2093" w:type="dxa"/>
            <w:tcBorders>
              <w:top w:val="single" w:color="auto" w:sz="2" w:space="0"/>
              <w:left w:val="nil"/>
              <w:bottom w:val="single" w:color="auto" w:sz="2" w:space="0"/>
              <w:right w:val="single" w:color="auto" w:sz="2" w:space="0"/>
            </w:tcBorders>
          </w:tcPr>
          <w:p>
            <w:pPr>
              <w:pStyle w:val="4"/>
              <w:widowControl/>
              <w:spacing w:beforeAutospacing="0" w:afterAutospacing="0" w:line="560" w:lineRule="exact"/>
              <w:ind w:firstLine="200"/>
              <w:jc w:val="center"/>
              <w:rPr>
                <w:rFonts w:ascii="仿宋_GB2312" w:hAnsi="微软雅黑" w:eastAsia="仿宋_GB2312" w:cs="微软雅黑"/>
                <w:color w:val="auto"/>
                <w:sz w:val="28"/>
                <w:szCs w:val="28"/>
              </w:rPr>
            </w:pPr>
            <w:r>
              <w:rPr>
                <w:rFonts w:hint="eastAsia" w:ascii="仿宋_GB2312" w:hAnsi="微软雅黑" w:eastAsia="仿宋_GB2312" w:cs="微软雅黑"/>
                <w:color w:val="auto"/>
                <w:sz w:val="28"/>
                <w:szCs w:val="28"/>
              </w:rPr>
              <w:t>联系电话</w:t>
            </w:r>
          </w:p>
        </w:tc>
      </w:tr>
      <w:tr>
        <w:tblPrEx>
          <w:tblCellMar>
            <w:top w:w="0" w:type="dxa"/>
            <w:left w:w="0" w:type="dxa"/>
            <w:bottom w:w="0" w:type="dxa"/>
            <w:right w:w="0" w:type="dxa"/>
          </w:tblCellMar>
        </w:tblPrEx>
        <w:tc>
          <w:tcPr>
            <w:tcW w:w="2838" w:type="dxa"/>
            <w:tcBorders>
              <w:top w:val="nil"/>
              <w:left w:val="single" w:color="auto" w:sz="2" w:space="0"/>
              <w:bottom w:val="single" w:color="auto" w:sz="2" w:space="0"/>
              <w:right w:val="single" w:color="auto" w:sz="2" w:space="0"/>
            </w:tcBorders>
            <w:shd w:val="clear" w:color="auto" w:fill="auto"/>
            <w:vAlign w:val="center"/>
          </w:tcPr>
          <w:p>
            <w:pPr>
              <w:pStyle w:val="4"/>
              <w:widowControl/>
              <w:spacing w:beforeAutospacing="0" w:afterAutospacing="0" w:line="560" w:lineRule="exact"/>
              <w:ind w:firstLine="200"/>
              <w:jc w:val="center"/>
              <w:rPr>
                <w:rFonts w:ascii="仿宋_GB2312" w:hAnsi="微软雅黑" w:eastAsia="仿宋_GB2312" w:cs="微软雅黑"/>
                <w:color w:val="auto"/>
                <w:sz w:val="28"/>
                <w:szCs w:val="28"/>
              </w:rPr>
            </w:pPr>
            <w:r>
              <w:rPr>
                <w:rFonts w:hint="eastAsia" w:ascii="仿宋_GB2312" w:hAnsi="微软雅黑" w:eastAsia="仿宋_GB2312" w:cs="微软雅黑"/>
                <w:color w:val="auto"/>
                <w:sz w:val="28"/>
                <w:szCs w:val="28"/>
              </w:rPr>
              <w:t>射阳农商银行运营管理部清算中心</w:t>
            </w:r>
          </w:p>
        </w:tc>
        <w:tc>
          <w:tcPr>
            <w:tcW w:w="2407" w:type="dxa"/>
            <w:tcBorders>
              <w:top w:val="nil"/>
              <w:left w:val="nil"/>
              <w:bottom w:val="single" w:color="auto" w:sz="2" w:space="0"/>
              <w:right w:val="single" w:color="auto" w:sz="2" w:space="0"/>
            </w:tcBorders>
            <w:shd w:val="clear" w:color="auto" w:fill="auto"/>
            <w:vAlign w:val="center"/>
          </w:tcPr>
          <w:p>
            <w:pPr>
              <w:pStyle w:val="4"/>
              <w:widowControl/>
              <w:spacing w:beforeAutospacing="0" w:afterAutospacing="0" w:line="560" w:lineRule="exact"/>
              <w:ind w:firstLine="200"/>
              <w:jc w:val="center"/>
              <w:rPr>
                <w:rFonts w:ascii="仿宋_GB2312" w:hAnsi="微软雅黑" w:eastAsia="仿宋_GB2312" w:cs="微软雅黑"/>
                <w:color w:val="auto"/>
                <w:sz w:val="28"/>
                <w:szCs w:val="28"/>
              </w:rPr>
            </w:pPr>
            <w:r>
              <w:rPr>
                <w:rFonts w:hint="eastAsia" w:ascii="仿宋_GB2312" w:hAnsi="微软雅黑" w:eastAsia="仿宋_GB2312" w:cs="微软雅黑"/>
                <w:color w:val="auto"/>
                <w:sz w:val="28"/>
                <w:szCs w:val="28"/>
              </w:rPr>
              <w:t>江苏省射阳县合德镇解放路385号</w:t>
            </w:r>
          </w:p>
        </w:tc>
        <w:tc>
          <w:tcPr>
            <w:tcW w:w="1562" w:type="dxa"/>
            <w:tcBorders>
              <w:top w:val="nil"/>
              <w:left w:val="nil"/>
              <w:bottom w:val="single" w:color="auto" w:sz="2" w:space="0"/>
              <w:right w:val="single" w:color="auto" w:sz="2" w:space="0"/>
            </w:tcBorders>
            <w:shd w:val="clear" w:color="auto" w:fill="auto"/>
            <w:vAlign w:val="center"/>
          </w:tcPr>
          <w:p>
            <w:pPr>
              <w:pStyle w:val="4"/>
              <w:widowControl/>
              <w:spacing w:beforeAutospacing="0" w:afterAutospacing="0" w:line="560" w:lineRule="exact"/>
              <w:ind w:firstLine="200"/>
              <w:jc w:val="center"/>
              <w:rPr>
                <w:rFonts w:ascii="仿宋_GB2312" w:hAnsi="微软雅黑" w:eastAsia="仿宋_GB2312" w:cs="微软雅黑"/>
                <w:color w:val="auto"/>
                <w:sz w:val="28"/>
                <w:szCs w:val="28"/>
              </w:rPr>
            </w:pPr>
            <w:r>
              <w:rPr>
                <w:rFonts w:hint="eastAsia" w:ascii="仿宋_GB2312" w:hAnsi="微软雅黑" w:eastAsia="仿宋_GB2312" w:cs="微软雅黑"/>
                <w:color w:val="auto"/>
                <w:sz w:val="28"/>
                <w:szCs w:val="28"/>
              </w:rPr>
              <w:t>函证业务经办人</w:t>
            </w:r>
          </w:p>
        </w:tc>
        <w:tc>
          <w:tcPr>
            <w:tcW w:w="2093" w:type="dxa"/>
            <w:tcBorders>
              <w:top w:val="nil"/>
              <w:left w:val="nil"/>
              <w:bottom w:val="single" w:color="auto" w:sz="2" w:space="0"/>
              <w:right w:val="single" w:color="auto" w:sz="2" w:space="0"/>
            </w:tcBorders>
          </w:tcPr>
          <w:p>
            <w:pPr>
              <w:pStyle w:val="4"/>
              <w:widowControl/>
              <w:spacing w:beforeAutospacing="0" w:afterAutospacing="0" w:line="560" w:lineRule="exact"/>
              <w:ind w:firstLine="200"/>
              <w:jc w:val="center"/>
              <w:rPr>
                <w:rFonts w:ascii="仿宋_GB2312" w:hAnsi="微软雅黑" w:eastAsia="仿宋_GB2312" w:cs="微软雅黑"/>
                <w:color w:val="auto"/>
                <w:sz w:val="28"/>
                <w:szCs w:val="28"/>
              </w:rPr>
            </w:pPr>
            <w:r>
              <w:rPr>
                <w:rFonts w:hint="eastAsia" w:ascii="仿宋_GB2312" w:hAnsi="微软雅黑" w:eastAsia="仿宋_GB2312" w:cs="微软雅黑"/>
                <w:color w:val="auto"/>
                <w:sz w:val="28"/>
                <w:szCs w:val="28"/>
              </w:rPr>
              <w:t>0515-82333491</w:t>
            </w:r>
          </w:p>
        </w:tc>
      </w:tr>
    </w:tbl>
    <w:p>
      <w:pPr>
        <w:pStyle w:val="4"/>
        <w:widowControl/>
        <w:spacing w:beforeAutospacing="0" w:afterAutospacing="0" w:line="560" w:lineRule="exact"/>
        <w:ind w:firstLine="630" w:firstLineChars="196"/>
        <w:jc w:val="both"/>
        <w:rPr>
          <w:rStyle w:val="7"/>
          <w:rFonts w:ascii="黑体" w:hAnsi="微软雅黑" w:eastAsia="黑体" w:cs="微软雅黑"/>
          <w:color w:val="auto"/>
          <w:sz w:val="32"/>
          <w:szCs w:val="32"/>
        </w:rPr>
      </w:pPr>
      <w:r>
        <w:rPr>
          <w:rStyle w:val="7"/>
          <w:rFonts w:hint="eastAsia" w:ascii="黑体" w:hAnsi="微软雅黑" w:eastAsia="黑体" w:cs="微软雅黑"/>
          <w:color w:val="auto"/>
          <w:sz w:val="32"/>
          <w:szCs w:val="32"/>
        </w:rPr>
        <w:t>三、受理方式</w:t>
      </w:r>
    </w:p>
    <w:p>
      <w:pPr>
        <w:pStyle w:val="4"/>
        <w:widowControl/>
        <w:spacing w:beforeAutospacing="0" w:afterAutospacing="0" w:line="560" w:lineRule="exact"/>
        <w:ind w:firstLine="640" w:firstLineChars="200"/>
        <w:jc w:val="both"/>
        <w:rPr>
          <w:rStyle w:val="7"/>
          <w:rFonts w:ascii="仿宋_GB2312" w:hAnsi="微软雅黑" w:eastAsia="仿宋_GB2312" w:cs="微软雅黑"/>
          <w:b w:val="0"/>
          <w:color w:val="auto"/>
          <w:sz w:val="32"/>
          <w:szCs w:val="32"/>
        </w:rPr>
      </w:pPr>
      <w:r>
        <w:rPr>
          <w:rFonts w:hint="eastAsia" w:ascii="仿宋_GB2312" w:hAnsi="微软雅黑" w:eastAsia="仿宋_GB2312" w:cs="微软雅黑"/>
          <w:color w:val="auto"/>
          <w:sz w:val="32"/>
          <w:szCs w:val="32"/>
        </w:rPr>
        <w:t>我行受理会计师事务所等第三方机构</w:t>
      </w:r>
      <w:r>
        <w:rPr>
          <w:rFonts w:hint="eastAsia" w:ascii="仿宋_GB2312" w:hAnsi="微软雅黑" w:eastAsia="仿宋_GB2312" w:cs="微软雅黑"/>
          <w:color w:val="auto"/>
          <w:sz w:val="32"/>
          <w:szCs w:val="32"/>
          <w:lang w:eastAsia="zh-CN"/>
        </w:rPr>
        <w:t>函证方式包含：</w:t>
      </w:r>
      <w:r>
        <w:rPr>
          <w:rFonts w:hint="eastAsia" w:ascii="仿宋_GB2312" w:hAnsi="微软雅黑" w:eastAsia="仿宋_GB2312" w:cs="微软雅黑"/>
          <w:color w:val="auto"/>
          <w:sz w:val="32"/>
          <w:szCs w:val="32"/>
        </w:rPr>
        <w:t>邮寄</w:t>
      </w:r>
      <w:r>
        <w:rPr>
          <w:rFonts w:hint="eastAsia" w:ascii="仿宋_GB2312" w:hAnsi="微软雅黑" w:eastAsia="仿宋_GB2312" w:cs="微软雅黑"/>
          <w:color w:val="auto"/>
          <w:sz w:val="32"/>
          <w:szCs w:val="32"/>
          <w:lang w:eastAsia="zh-CN"/>
        </w:rPr>
        <w:t>函证、</w:t>
      </w:r>
      <w:r>
        <w:rPr>
          <w:rFonts w:hint="eastAsia" w:ascii="仿宋_GB2312" w:hAnsi="微软雅黑" w:eastAsia="仿宋_GB2312" w:cs="微软雅黑"/>
          <w:color w:val="auto"/>
          <w:sz w:val="32"/>
          <w:szCs w:val="32"/>
        </w:rPr>
        <w:t>现场跟函</w:t>
      </w:r>
      <w:r>
        <w:rPr>
          <w:rFonts w:hint="eastAsia" w:ascii="仿宋_GB2312" w:hAnsi="微软雅黑" w:eastAsia="仿宋_GB2312" w:cs="微软雅黑"/>
          <w:color w:val="auto"/>
          <w:sz w:val="32"/>
          <w:szCs w:val="32"/>
          <w:lang w:eastAsia="zh-CN"/>
        </w:rPr>
        <w:t>、数字函证。</w:t>
      </w:r>
      <w:r>
        <w:rPr>
          <w:rFonts w:hint="eastAsia" w:ascii="仿宋_GB2312" w:hAnsi="微软雅黑" w:eastAsia="仿宋_GB2312" w:cs="微软雅黑"/>
          <w:color w:val="auto"/>
          <w:sz w:val="32"/>
          <w:szCs w:val="32"/>
        </w:rPr>
        <w:t>现场跟函需提供经办人员身份证件及会计师事务所等第三方机构出具的介绍信，并于银行询证函中填列的“联系人”保持一致，特殊情况修改联系人的，应在介绍信中予以注明。</w:t>
      </w:r>
    </w:p>
    <w:p>
      <w:pPr>
        <w:pStyle w:val="4"/>
        <w:widowControl/>
        <w:numPr>
          <w:ilvl w:val="0"/>
          <w:numId w:val="1"/>
        </w:numPr>
        <w:spacing w:beforeAutospacing="0" w:afterAutospacing="0" w:line="560" w:lineRule="exact"/>
        <w:ind w:firstLine="630" w:firstLineChars="196"/>
        <w:jc w:val="both"/>
        <w:rPr>
          <w:rStyle w:val="7"/>
          <w:rFonts w:hint="eastAsia" w:ascii="黑体" w:hAnsi="微软雅黑" w:eastAsia="黑体" w:cs="微软雅黑"/>
          <w:color w:val="auto"/>
          <w:sz w:val="32"/>
          <w:szCs w:val="32"/>
        </w:rPr>
      </w:pPr>
      <w:r>
        <w:rPr>
          <w:rStyle w:val="7"/>
          <w:rFonts w:hint="eastAsia" w:ascii="黑体" w:hAnsi="微软雅黑" w:eastAsia="黑体" w:cs="微软雅黑"/>
          <w:color w:val="auto"/>
          <w:sz w:val="32"/>
          <w:szCs w:val="32"/>
        </w:rPr>
        <w:t>受理要求</w:t>
      </w:r>
    </w:p>
    <w:p>
      <w:pPr>
        <w:widowControl/>
        <w:numPr>
          <w:ilvl w:val="0"/>
          <w:numId w:val="2"/>
        </w:numPr>
        <w:spacing w:line="560" w:lineRule="exact"/>
        <w:ind w:firstLine="643" w:firstLineChars="200"/>
        <w:rPr>
          <w:rFonts w:ascii="仿宋_GB2312" w:hAnsi="微软雅黑" w:eastAsia="仿宋_GB2312" w:cs="微软雅黑"/>
          <w:color w:val="auto"/>
          <w:sz w:val="32"/>
          <w:szCs w:val="32"/>
        </w:rPr>
      </w:pPr>
      <w:r>
        <w:rPr>
          <w:rFonts w:hint="eastAsia" w:ascii="仿宋_GB2312" w:hAnsi="微软雅黑" w:eastAsia="仿宋_GB2312" w:cs="微软雅黑"/>
          <w:b/>
          <w:bCs/>
          <w:color w:val="auto"/>
          <w:kern w:val="0"/>
          <w:sz w:val="32"/>
          <w:szCs w:val="32"/>
          <w:lang w:eastAsia="zh-CN"/>
        </w:rPr>
        <w:t>纸质函证</w:t>
      </w:r>
    </w:p>
    <w:p>
      <w:pPr>
        <w:widowControl/>
        <w:numPr>
          <w:ilvl w:val="0"/>
          <w:numId w:val="0"/>
        </w:numPr>
        <w:spacing w:line="560" w:lineRule="exact"/>
        <w:ind w:firstLine="640" w:firstLineChars="200"/>
        <w:rPr>
          <w:rFonts w:ascii="仿宋_GB2312" w:hAnsi="微软雅黑" w:eastAsia="仿宋_GB2312" w:cs="微软雅黑"/>
          <w:color w:val="auto"/>
          <w:sz w:val="32"/>
          <w:szCs w:val="32"/>
        </w:rPr>
      </w:pPr>
      <w:r>
        <w:rPr>
          <w:rFonts w:hint="eastAsia" w:ascii="仿宋_GB2312" w:hAnsi="微软雅黑" w:eastAsia="仿宋_GB2312" w:cs="微软雅黑"/>
          <w:color w:val="auto"/>
          <w:kern w:val="0"/>
          <w:sz w:val="32"/>
          <w:szCs w:val="32"/>
        </w:rPr>
        <w:t>会计师事务所等第三方机构应按照《指引》要求填写《银行询证函》</w:t>
      </w:r>
      <w:r>
        <w:rPr>
          <w:rFonts w:hint="eastAsia" w:ascii="仿宋_GB2312" w:hAnsi="微软雅黑" w:eastAsia="仿宋_GB2312" w:cs="微软雅黑"/>
          <w:color w:val="auto"/>
          <w:kern w:val="0"/>
          <w:sz w:val="32"/>
          <w:szCs w:val="32"/>
          <w:lang w:eastAsia="zh-CN"/>
        </w:rPr>
        <w:t>（格式一、格式二）</w:t>
      </w:r>
      <w:r>
        <w:rPr>
          <w:rFonts w:hint="eastAsia" w:ascii="仿宋_GB2312" w:hAnsi="微软雅黑" w:eastAsia="仿宋_GB2312" w:cs="微软雅黑"/>
          <w:color w:val="auto"/>
          <w:kern w:val="0"/>
          <w:sz w:val="32"/>
          <w:szCs w:val="32"/>
        </w:rPr>
        <w:t>或《验资业务银行询证函》</w:t>
      </w:r>
      <w:r>
        <w:rPr>
          <w:rFonts w:hint="eastAsia" w:ascii="仿宋_GB2312" w:hAnsi="微软雅黑" w:eastAsia="仿宋_GB2312" w:cs="微软雅黑"/>
          <w:color w:val="auto"/>
          <w:kern w:val="0"/>
          <w:sz w:val="32"/>
          <w:szCs w:val="32"/>
          <w:lang w:eastAsia="zh-CN"/>
        </w:rPr>
        <w:t>（格式三）</w:t>
      </w:r>
      <w:r>
        <w:rPr>
          <w:rFonts w:hint="eastAsia" w:ascii="仿宋_GB2312" w:hAnsi="微软雅黑" w:eastAsia="仿宋_GB2312" w:cs="微软雅黑"/>
          <w:color w:val="auto"/>
          <w:kern w:val="0"/>
          <w:sz w:val="32"/>
          <w:szCs w:val="32"/>
        </w:rPr>
        <w:t>，对于不满足《指引》及我行公示要求的，我行将不予受理，并予以退回。具体要求如下：</w:t>
      </w:r>
    </w:p>
    <w:p>
      <w:pPr>
        <w:widowControl/>
        <w:spacing w:line="560" w:lineRule="exact"/>
        <w:ind w:firstLine="640" w:firstLineChars="200"/>
        <w:rPr>
          <w:rFonts w:ascii="仿宋_GB2312" w:hAnsi="微软雅黑" w:eastAsia="仿宋_GB2312" w:cs="微软雅黑"/>
          <w:color w:val="auto"/>
          <w:sz w:val="32"/>
          <w:szCs w:val="32"/>
        </w:rPr>
      </w:pPr>
      <w:r>
        <w:rPr>
          <w:rFonts w:hint="eastAsia" w:ascii="仿宋_GB2312" w:hAnsi="微软雅黑" w:eastAsia="仿宋_GB2312" w:cs="微软雅黑"/>
          <w:color w:val="auto"/>
          <w:kern w:val="0"/>
          <w:sz w:val="32"/>
          <w:szCs w:val="32"/>
        </w:rPr>
        <w:t>1.《银行询证函》中会计师事务所等第三方机构回函地址、联系人、联系电话、电子邮箱地址</w:t>
      </w:r>
      <w:r>
        <w:rPr>
          <w:rFonts w:hint="eastAsia" w:ascii="仿宋_GB2312" w:hAnsi="微软雅黑" w:eastAsia="仿宋_GB2312" w:cs="微软雅黑"/>
          <w:color w:val="auto"/>
          <w:kern w:val="0"/>
          <w:sz w:val="32"/>
          <w:szCs w:val="32"/>
          <w:lang w:eastAsia="zh-CN"/>
        </w:rPr>
        <w:t>、扣款账户、发函编号</w:t>
      </w:r>
      <w:r>
        <w:rPr>
          <w:rFonts w:hint="eastAsia" w:ascii="仿宋_GB2312" w:hAnsi="微软雅黑" w:eastAsia="仿宋_GB2312" w:cs="微软雅黑"/>
          <w:color w:val="auto"/>
          <w:kern w:val="0"/>
          <w:sz w:val="32"/>
          <w:szCs w:val="32"/>
        </w:rPr>
        <w:t>等</w:t>
      </w:r>
      <w:r>
        <w:rPr>
          <w:rFonts w:hint="eastAsia" w:ascii="仿宋_GB2312" w:hAnsi="微软雅黑" w:eastAsia="仿宋_GB2312" w:cs="微软雅黑"/>
          <w:color w:val="auto"/>
          <w:kern w:val="0"/>
          <w:sz w:val="32"/>
          <w:szCs w:val="32"/>
          <w:lang w:eastAsia="zh-CN"/>
        </w:rPr>
        <w:t>相关信息</w:t>
      </w:r>
      <w:r>
        <w:rPr>
          <w:rFonts w:hint="eastAsia" w:ascii="仿宋_GB2312" w:hAnsi="微软雅黑" w:eastAsia="仿宋_GB2312" w:cs="微软雅黑"/>
          <w:color w:val="auto"/>
          <w:kern w:val="0"/>
          <w:sz w:val="32"/>
          <w:szCs w:val="32"/>
        </w:rPr>
        <w:t>应当填写完整，不得空白。</w:t>
      </w:r>
    </w:p>
    <w:p>
      <w:pPr>
        <w:widowControl/>
        <w:spacing w:line="560" w:lineRule="exact"/>
        <w:ind w:firstLine="640" w:firstLineChars="200"/>
        <w:rPr>
          <w:rFonts w:ascii="仿宋_GB2312" w:hAnsi="微软雅黑" w:eastAsia="仿宋_GB2312" w:cs="微软雅黑"/>
          <w:color w:val="auto"/>
          <w:sz w:val="32"/>
          <w:szCs w:val="32"/>
        </w:rPr>
      </w:pPr>
      <w:r>
        <w:rPr>
          <w:rFonts w:hint="eastAsia" w:ascii="仿宋_GB2312" w:hAnsi="微软雅黑" w:eastAsia="仿宋_GB2312" w:cs="微软雅黑"/>
          <w:color w:val="auto"/>
          <w:kern w:val="0"/>
          <w:sz w:val="32"/>
          <w:szCs w:val="32"/>
        </w:rPr>
        <w:t>2.《银行询证函》中应只列示一个函证基准日。</w:t>
      </w:r>
    </w:p>
    <w:p>
      <w:pPr>
        <w:widowControl/>
        <w:spacing w:line="560" w:lineRule="exact"/>
        <w:ind w:firstLine="640" w:firstLineChars="200"/>
        <w:rPr>
          <w:rFonts w:ascii="仿宋_GB2312" w:hAnsi="微软雅黑" w:eastAsia="仿宋_GB2312" w:cs="微软雅黑"/>
          <w:color w:val="auto"/>
          <w:sz w:val="32"/>
          <w:szCs w:val="32"/>
        </w:rPr>
      </w:pPr>
      <w:r>
        <w:rPr>
          <w:rFonts w:hint="eastAsia" w:ascii="仿宋_GB2312" w:hAnsi="微软雅黑" w:eastAsia="仿宋_GB2312" w:cs="微软雅黑"/>
          <w:color w:val="auto"/>
          <w:kern w:val="0"/>
          <w:sz w:val="32"/>
          <w:szCs w:val="32"/>
        </w:rPr>
        <w:t>3.《银行询证函》中应明确1-14项及附表信息是否函证，如不询证某一项，应对该项目或具体栏位的表格用斜线划掉，不得留白；如询证第14项其他，可以列明具体项目，我行就已知的事项如实进行反馈。</w:t>
      </w:r>
    </w:p>
    <w:p>
      <w:pPr>
        <w:widowControl/>
        <w:spacing w:line="560" w:lineRule="exact"/>
        <w:ind w:firstLine="640" w:firstLineChars="200"/>
        <w:rPr>
          <w:rFonts w:ascii="仿宋_GB2312" w:hAnsi="微软雅黑" w:eastAsia="仿宋_GB2312" w:cs="微软雅黑"/>
          <w:color w:val="auto"/>
          <w:sz w:val="32"/>
          <w:szCs w:val="32"/>
        </w:rPr>
      </w:pPr>
      <w:r>
        <w:rPr>
          <w:rFonts w:hint="eastAsia" w:ascii="仿宋_GB2312" w:hAnsi="微软雅黑" w:eastAsia="仿宋_GB2312" w:cs="微软雅黑"/>
          <w:color w:val="auto"/>
          <w:kern w:val="0"/>
          <w:sz w:val="32"/>
          <w:szCs w:val="32"/>
        </w:rPr>
        <w:t>4.《验资业务银行询证函》中回函地址、联系人、联系电话、电子邮箱地址、缴款人、缴入日期、账户性质、银行账号、币种、金额、款项用途、款项来源等相关信息应填写完整，不得留白。</w:t>
      </w:r>
    </w:p>
    <w:p>
      <w:pPr>
        <w:widowControl/>
        <w:spacing w:line="560" w:lineRule="exact"/>
        <w:ind w:firstLine="640" w:firstLineChars="200"/>
        <w:rPr>
          <w:rFonts w:hint="eastAsia" w:ascii="仿宋_GB2312" w:hAnsi="微软雅黑" w:eastAsia="仿宋_GB2312" w:cs="微软雅黑"/>
          <w:color w:val="auto"/>
          <w:kern w:val="0"/>
          <w:sz w:val="32"/>
          <w:szCs w:val="32"/>
        </w:rPr>
      </w:pPr>
      <w:r>
        <w:rPr>
          <w:rFonts w:hint="eastAsia" w:ascii="仿宋_GB2312" w:hAnsi="微软雅黑" w:eastAsia="仿宋_GB2312" w:cs="微软雅黑"/>
          <w:color w:val="auto"/>
          <w:kern w:val="0"/>
          <w:sz w:val="32"/>
          <w:szCs w:val="32"/>
        </w:rPr>
        <w:t>5.《银行询证函》或《验资业务银行询证函》应加盖被询证单位预留印鉴，如同时函证同一被询证单位的多个账户，应加盖扣款账户的预留印鉴；多页材料还应加盖骑缝章，骑缝章可盖公章或预留印鉴。</w:t>
      </w:r>
    </w:p>
    <w:p>
      <w:pPr>
        <w:widowControl/>
        <w:spacing w:line="560" w:lineRule="exact"/>
        <w:ind w:firstLine="643" w:firstLineChars="200"/>
        <w:rPr>
          <w:rFonts w:hint="eastAsia" w:ascii="仿宋_GB2312" w:hAnsi="微软雅黑" w:eastAsia="仿宋_GB2312" w:cs="微软雅黑"/>
          <w:b/>
          <w:bCs/>
          <w:color w:val="auto"/>
          <w:kern w:val="0"/>
          <w:sz w:val="32"/>
          <w:szCs w:val="32"/>
          <w:lang w:eastAsia="zh-CN"/>
        </w:rPr>
      </w:pPr>
      <w:r>
        <w:rPr>
          <w:rFonts w:hint="eastAsia" w:ascii="仿宋_GB2312" w:hAnsi="微软雅黑" w:eastAsia="仿宋_GB2312" w:cs="微软雅黑"/>
          <w:b/>
          <w:bCs/>
          <w:color w:val="auto"/>
          <w:kern w:val="0"/>
          <w:sz w:val="32"/>
          <w:szCs w:val="32"/>
          <w:lang w:eastAsia="zh-CN"/>
        </w:rPr>
        <w:t>（二）数字函证</w:t>
      </w:r>
    </w:p>
    <w:p>
      <w:pPr>
        <w:widowControl/>
        <w:spacing w:line="560" w:lineRule="exact"/>
        <w:ind w:firstLine="640" w:firstLineChars="200"/>
        <w:rPr>
          <w:rFonts w:hint="eastAsia" w:ascii="仿宋_GB2312" w:hAnsi="微软雅黑" w:eastAsia="仿宋_GB2312" w:cs="微软雅黑"/>
          <w:color w:val="auto"/>
          <w:sz w:val="32"/>
          <w:szCs w:val="32"/>
        </w:rPr>
      </w:pPr>
      <w:r>
        <w:rPr>
          <w:rFonts w:hint="eastAsia" w:ascii="仿宋_GB2312" w:hAnsi="微软雅黑" w:eastAsia="仿宋_GB2312" w:cs="微软雅黑"/>
          <w:color w:val="auto"/>
          <w:sz w:val="32"/>
          <w:szCs w:val="32"/>
          <w:lang w:val="en-US" w:eastAsia="zh-CN"/>
        </w:rPr>
        <w:t>1.</w:t>
      </w:r>
      <w:r>
        <w:rPr>
          <w:rFonts w:hint="eastAsia" w:ascii="仿宋_GB2312" w:hAnsi="微软雅黑" w:eastAsia="仿宋_GB2312" w:cs="微软雅黑"/>
          <w:color w:val="auto"/>
          <w:sz w:val="32"/>
          <w:szCs w:val="32"/>
          <w:lang w:eastAsia="zh-CN"/>
        </w:rPr>
        <w:t>我行已接入中国互联网金融协会数字函证平台（以下简称函证平台），已接入函证平台的会计师事务所，可通过电子函证方式办理函证业务</w:t>
      </w:r>
      <w:r>
        <w:rPr>
          <w:rFonts w:hint="eastAsia" w:ascii="仿宋_GB2312" w:hAnsi="微软雅黑" w:eastAsia="仿宋_GB2312" w:cs="微软雅黑"/>
          <w:color w:val="auto"/>
          <w:sz w:val="32"/>
          <w:szCs w:val="32"/>
        </w:rPr>
        <w:t>。</w:t>
      </w:r>
    </w:p>
    <w:p>
      <w:pPr>
        <w:widowControl/>
        <w:spacing w:line="560" w:lineRule="exact"/>
        <w:ind w:firstLine="640" w:firstLineChars="200"/>
        <w:rPr>
          <w:rFonts w:hint="eastAsia" w:ascii="仿宋_GB2312" w:hAnsi="微软雅黑" w:eastAsia="仿宋_GB2312" w:cs="微软雅黑"/>
          <w:color w:val="auto"/>
          <w:sz w:val="32"/>
          <w:szCs w:val="32"/>
          <w:lang w:val="en-US" w:eastAsia="zh-CN"/>
        </w:rPr>
      </w:pPr>
      <w:r>
        <w:rPr>
          <w:rFonts w:hint="eastAsia" w:ascii="仿宋_GB2312" w:hAnsi="微软雅黑" w:eastAsia="仿宋_GB2312" w:cs="微软雅黑"/>
          <w:color w:val="auto"/>
          <w:sz w:val="32"/>
          <w:szCs w:val="32"/>
          <w:lang w:val="en-US" w:eastAsia="zh-CN"/>
        </w:rPr>
        <w:t>2.被函证单位需提前到我行营业网点申请开通企业网银电子函证业务。</w:t>
      </w:r>
    </w:p>
    <w:p>
      <w:pPr>
        <w:widowControl/>
        <w:spacing w:line="560" w:lineRule="exact"/>
        <w:ind w:firstLine="640" w:firstLineChars="200"/>
        <w:rPr>
          <w:rFonts w:hint="eastAsia" w:ascii="仿宋_GB2312" w:hAnsi="微软雅黑" w:eastAsia="仿宋_GB2312" w:cs="微软雅黑"/>
          <w:color w:val="auto"/>
          <w:sz w:val="32"/>
          <w:szCs w:val="32"/>
          <w:lang w:val="en-US" w:eastAsia="zh-CN"/>
        </w:rPr>
      </w:pPr>
      <w:r>
        <w:rPr>
          <w:rFonts w:hint="eastAsia" w:ascii="仿宋_GB2312" w:hAnsi="微软雅黑" w:eastAsia="仿宋_GB2312" w:cs="微软雅黑"/>
          <w:color w:val="auto"/>
          <w:sz w:val="32"/>
          <w:szCs w:val="32"/>
          <w:lang w:val="en-US" w:eastAsia="zh-CN"/>
        </w:rPr>
        <w:t>3.会计师事务所通过函证平台向我行发起电子函证申请后，需及时通知被函证单位通过我行企业网银完成授权操作。</w:t>
      </w:r>
    </w:p>
    <w:p>
      <w:pPr>
        <w:widowControl/>
        <w:spacing w:line="560" w:lineRule="exact"/>
        <w:ind w:firstLine="640" w:firstLineChars="200"/>
        <w:rPr>
          <w:rFonts w:hint="default" w:ascii="仿宋_GB2312" w:hAnsi="微软雅黑" w:eastAsia="仿宋_GB2312" w:cs="微软雅黑"/>
          <w:color w:val="auto"/>
          <w:sz w:val="32"/>
          <w:szCs w:val="32"/>
          <w:lang w:val="en-US" w:eastAsia="zh-CN"/>
        </w:rPr>
      </w:pPr>
      <w:r>
        <w:rPr>
          <w:rFonts w:hint="eastAsia" w:ascii="仿宋_GB2312" w:hAnsi="微软雅黑" w:eastAsia="仿宋_GB2312" w:cs="微软雅黑"/>
          <w:color w:val="auto"/>
          <w:sz w:val="32"/>
          <w:szCs w:val="32"/>
          <w:lang w:val="en-US" w:eastAsia="zh-CN"/>
        </w:rPr>
        <w:t>4.我行回函时效为被函证单位通过授权后的10个工作日内，会计师事务所可通过函证平台查看并在函证平台规定时间内及时下载电子回函文件。</w:t>
      </w:r>
    </w:p>
    <w:p>
      <w:pPr>
        <w:pStyle w:val="4"/>
        <w:widowControl/>
        <w:spacing w:beforeAutospacing="0" w:afterAutospacing="0" w:line="560" w:lineRule="exact"/>
        <w:ind w:firstLine="790" w:firstLineChars="246"/>
        <w:jc w:val="both"/>
        <w:rPr>
          <w:rStyle w:val="7"/>
          <w:rFonts w:ascii="黑体" w:hAnsi="微软雅黑" w:eastAsia="黑体" w:cs="微软雅黑"/>
          <w:color w:val="auto"/>
          <w:sz w:val="32"/>
          <w:szCs w:val="32"/>
        </w:rPr>
      </w:pPr>
      <w:r>
        <w:rPr>
          <w:rStyle w:val="7"/>
          <w:rFonts w:hint="eastAsia" w:ascii="黑体" w:hAnsi="微软雅黑" w:eastAsia="黑体" w:cs="微软雅黑"/>
          <w:color w:val="auto"/>
          <w:sz w:val="32"/>
          <w:szCs w:val="32"/>
        </w:rPr>
        <w:t>五、回函范围及回函用章</w:t>
      </w:r>
    </w:p>
    <w:p>
      <w:pPr>
        <w:widowControl/>
        <w:spacing w:line="560" w:lineRule="exact"/>
        <w:ind w:firstLine="640" w:firstLineChars="200"/>
        <w:rPr>
          <w:rStyle w:val="7"/>
          <w:rFonts w:ascii="仿宋_GB2312" w:hAnsi="微软雅黑" w:eastAsia="仿宋_GB2312" w:cs="微软雅黑"/>
          <w:b w:val="0"/>
          <w:color w:val="auto"/>
          <w:kern w:val="0"/>
          <w:sz w:val="32"/>
          <w:szCs w:val="32"/>
        </w:rPr>
      </w:pPr>
      <w:r>
        <w:rPr>
          <w:rFonts w:hint="eastAsia" w:ascii="仿宋_GB2312" w:hAnsi="微软雅黑" w:eastAsia="仿宋_GB2312" w:cs="微软雅黑"/>
          <w:color w:val="auto"/>
          <w:kern w:val="0"/>
          <w:sz w:val="32"/>
          <w:szCs w:val="32"/>
          <w:lang w:eastAsia="zh-CN"/>
        </w:rPr>
        <w:t>原则上，我行集中受理及回函的信息范围为全行范围，</w:t>
      </w:r>
      <w:r>
        <w:rPr>
          <w:rFonts w:hint="eastAsia" w:ascii="仿宋_GB2312" w:hAnsi="微软雅黑" w:eastAsia="仿宋_GB2312" w:cs="微软雅黑"/>
          <w:color w:val="auto"/>
          <w:kern w:val="0"/>
          <w:sz w:val="32"/>
          <w:szCs w:val="32"/>
        </w:rPr>
        <w:t>银行询证函中的函证收件人为本行全称或规范化简称。本行全称：江苏射阳农村商业银行股份有限公司，规范化简称：射阳农商银行。我行函证回复统一加盖“江苏射阳农村商业银行股份有限公司询证函回函专用章”。</w:t>
      </w:r>
    </w:p>
    <w:p>
      <w:pPr>
        <w:pStyle w:val="4"/>
        <w:widowControl/>
        <w:spacing w:beforeAutospacing="0" w:afterAutospacing="0" w:line="560" w:lineRule="exact"/>
        <w:ind w:firstLine="790" w:firstLineChars="246"/>
        <w:jc w:val="both"/>
        <w:rPr>
          <w:rFonts w:ascii="仿宋_GB2312" w:hAnsi="微软雅黑" w:eastAsia="仿宋_GB2312" w:cs="微软雅黑"/>
          <w:color w:val="auto"/>
          <w:sz w:val="32"/>
          <w:szCs w:val="32"/>
        </w:rPr>
      </w:pPr>
      <w:r>
        <w:rPr>
          <w:rStyle w:val="7"/>
          <w:rFonts w:hint="eastAsia" w:ascii="黑体" w:hAnsi="微软雅黑" w:eastAsia="黑体" w:cs="微软雅黑"/>
          <w:color w:val="auto"/>
          <w:sz w:val="32"/>
          <w:szCs w:val="32"/>
        </w:rPr>
        <w:t>六、收费标准</w:t>
      </w:r>
    </w:p>
    <w:p>
      <w:pPr>
        <w:pStyle w:val="4"/>
        <w:widowControl/>
        <w:spacing w:beforeAutospacing="0" w:afterAutospacing="0" w:line="560" w:lineRule="exact"/>
        <w:ind w:firstLine="200"/>
        <w:jc w:val="both"/>
        <w:rPr>
          <w:rFonts w:ascii="仿宋_GB2312" w:hAnsi="微软雅黑" w:eastAsia="仿宋_GB2312" w:cs="微软雅黑"/>
          <w:color w:val="auto"/>
          <w:sz w:val="32"/>
          <w:szCs w:val="32"/>
        </w:rPr>
      </w:pPr>
      <w:r>
        <w:rPr>
          <w:rFonts w:hint="eastAsia" w:ascii="仿宋_GB2312" w:hAnsi="微软雅黑" w:eastAsia="仿宋_GB2312" w:cs="微软雅黑"/>
          <w:color w:val="auto"/>
          <w:sz w:val="32"/>
          <w:szCs w:val="32"/>
        </w:rPr>
        <w:t>　　银行函证业务服务收费按照我行公示的服务定价目录表执行，详情请查看我行官方网站-收费标准。服务价格发生变化时以我行最新公告的服务定价为准。</w:t>
      </w:r>
    </w:p>
    <w:p>
      <w:pPr>
        <w:pStyle w:val="4"/>
        <w:widowControl/>
        <w:spacing w:beforeAutospacing="0" w:afterAutospacing="0" w:line="560" w:lineRule="exact"/>
        <w:ind w:firstLine="790" w:firstLineChars="246"/>
        <w:jc w:val="both"/>
        <w:rPr>
          <w:rFonts w:ascii="仿宋_GB2312" w:hAnsi="微软雅黑" w:eastAsia="仿宋_GB2312" w:cs="微软雅黑"/>
          <w:color w:val="auto"/>
          <w:sz w:val="32"/>
          <w:szCs w:val="32"/>
        </w:rPr>
      </w:pPr>
      <w:r>
        <w:rPr>
          <w:rStyle w:val="7"/>
          <w:rFonts w:hint="eastAsia" w:ascii="黑体" w:hAnsi="微软雅黑" w:eastAsia="黑体" w:cs="微软雅黑"/>
          <w:color w:val="auto"/>
          <w:sz w:val="32"/>
          <w:szCs w:val="32"/>
        </w:rPr>
        <w:t>七、业务服务与投诉电话</w:t>
      </w:r>
    </w:p>
    <w:p>
      <w:pPr>
        <w:pStyle w:val="4"/>
        <w:widowControl/>
        <w:spacing w:beforeAutospacing="0" w:afterAutospacing="0" w:line="560" w:lineRule="exact"/>
        <w:ind w:firstLine="640" w:firstLineChars="200"/>
        <w:jc w:val="both"/>
        <w:rPr>
          <w:rFonts w:ascii="仿宋_GB2312" w:hAnsi="微软雅黑" w:eastAsia="仿宋_GB2312" w:cs="微软雅黑"/>
          <w:color w:val="auto"/>
          <w:sz w:val="32"/>
          <w:szCs w:val="32"/>
        </w:rPr>
      </w:pPr>
      <w:r>
        <w:rPr>
          <w:rFonts w:hint="eastAsia" w:ascii="仿宋_GB2312" w:hAnsi="微软雅黑" w:eastAsia="仿宋_GB2312" w:cs="微软雅黑"/>
          <w:color w:val="auto"/>
          <w:sz w:val="32"/>
          <w:szCs w:val="32"/>
        </w:rPr>
        <w:t>业务联系电话：0515-82333491；投诉电话：0515-69966666。</w:t>
      </w:r>
    </w:p>
    <w:p>
      <w:pPr>
        <w:pStyle w:val="4"/>
        <w:widowControl/>
        <w:spacing w:beforeAutospacing="0" w:afterAutospacing="0" w:line="560" w:lineRule="exact"/>
        <w:ind w:firstLine="640" w:firstLineChars="200"/>
        <w:jc w:val="both"/>
        <w:rPr>
          <w:rFonts w:ascii="仿宋_GB2312" w:hAnsi="微软雅黑" w:eastAsia="仿宋_GB2312" w:cs="微软雅黑"/>
          <w:color w:val="auto"/>
          <w:sz w:val="32"/>
          <w:szCs w:val="32"/>
        </w:rPr>
      </w:pPr>
      <w:r>
        <w:rPr>
          <w:rFonts w:hint="eastAsia" w:ascii="仿宋_GB2312" w:hAnsi="微软雅黑" w:eastAsia="仿宋_GB2312" w:cs="微软雅黑"/>
          <w:color w:val="auto"/>
          <w:sz w:val="32"/>
          <w:szCs w:val="32"/>
        </w:rPr>
        <w:t>感谢您的理解与支持！</w:t>
      </w:r>
    </w:p>
    <w:p>
      <w:pPr>
        <w:pStyle w:val="4"/>
        <w:widowControl/>
        <w:spacing w:beforeAutospacing="0" w:afterAutospacing="0" w:line="560" w:lineRule="exact"/>
        <w:ind w:firstLine="640" w:firstLineChars="200"/>
        <w:jc w:val="both"/>
        <w:rPr>
          <w:rFonts w:ascii="仿宋_GB2312" w:hAnsi="微软雅黑" w:eastAsia="仿宋_GB2312" w:cs="微软雅黑"/>
          <w:color w:val="auto"/>
          <w:sz w:val="32"/>
          <w:szCs w:val="32"/>
        </w:rPr>
      </w:pPr>
      <w:r>
        <w:rPr>
          <w:rFonts w:hint="eastAsia" w:ascii="仿宋_GB2312" w:hAnsi="微软雅黑" w:eastAsia="仿宋_GB2312" w:cs="微软雅黑"/>
          <w:color w:val="auto"/>
          <w:sz w:val="32"/>
          <w:szCs w:val="32"/>
        </w:rPr>
        <w:t>特此公告。</w:t>
      </w:r>
    </w:p>
    <w:p>
      <w:pPr>
        <w:pStyle w:val="4"/>
        <w:widowControl/>
        <w:spacing w:beforeAutospacing="0" w:afterAutospacing="0"/>
        <w:ind w:firstLine="640" w:firstLineChars="200"/>
        <w:jc w:val="both"/>
        <w:rPr>
          <w:rFonts w:ascii="仿宋_GB2312" w:hAnsi="微软雅黑" w:eastAsia="仿宋_GB2312" w:cs="微软雅黑"/>
          <w:color w:val="auto"/>
          <w:sz w:val="32"/>
          <w:szCs w:val="32"/>
        </w:rPr>
      </w:pPr>
    </w:p>
    <w:p>
      <w:pPr>
        <w:pStyle w:val="4"/>
        <w:widowControl/>
        <w:spacing w:beforeAutospacing="0" w:afterAutospacing="0"/>
        <w:ind w:firstLine="640" w:firstLineChars="200"/>
        <w:jc w:val="both"/>
        <w:rPr>
          <w:rFonts w:ascii="仿宋_GB2312" w:hAnsi="微软雅黑" w:eastAsia="仿宋_GB2312" w:cs="微软雅黑"/>
          <w:color w:val="auto"/>
          <w:sz w:val="32"/>
          <w:szCs w:val="32"/>
        </w:rPr>
      </w:pPr>
    </w:p>
    <w:p>
      <w:pPr>
        <w:pStyle w:val="4"/>
        <w:widowControl/>
        <w:spacing w:beforeAutospacing="0" w:afterAutospacing="0"/>
        <w:ind w:firstLine="200"/>
        <w:jc w:val="both"/>
        <w:rPr>
          <w:rFonts w:ascii="仿宋_GB2312" w:hAnsi="微软雅黑" w:eastAsia="仿宋_GB2312" w:cs="微软雅黑"/>
          <w:color w:val="auto"/>
          <w:sz w:val="32"/>
          <w:szCs w:val="32"/>
        </w:rPr>
      </w:pPr>
      <w:r>
        <w:rPr>
          <w:rFonts w:hint="eastAsia" w:ascii="仿宋_GB2312" w:hAnsi="微软雅黑" w:eastAsia="仿宋_GB2312" w:cs="微软雅黑"/>
          <w:color w:val="auto"/>
          <w:sz w:val="32"/>
          <w:szCs w:val="32"/>
        </w:rPr>
        <w:t>　　              江苏射阳农村商业银行股份有限公司</w:t>
      </w:r>
    </w:p>
    <w:p>
      <w:pPr>
        <w:pStyle w:val="4"/>
        <w:widowControl/>
        <w:spacing w:beforeAutospacing="0" w:afterAutospacing="0"/>
        <w:ind w:firstLine="200"/>
        <w:jc w:val="both"/>
        <w:rPr>
          <w:rFonts w:ascii="仿宋_GB2312" w:hAnsi="微软雅黑" w:eastAsia="仿宋_GB2312" w:cs="微软雅黑"/>
          <w:color w:val="auto"/>
          <w:sz w:val="32"/>
          <w:szCs w:val="32"/>
        </w:rPr>
      </w:pPr>
      <w:r>
        <w:rPr>
          <w:rFonts w:hint="eastAsia" w:ascii="仿宋_GB2312" w:hAnsi="微软雅黑" w:eastAsia="仿宋_GB2312" w:cs="微软雅黑"/>
          <w:color w:val="auto"/>
          <w:sz w:val="32"/>
          <w:szCs w:val="32"/>
        </w:rPr>
        <w:t>　　                      202</w:t>
      </w:r>
      <w:r>
        <w:rPr>
          <w:rFonts w:hint="eastAsia" w:ascii="仿宋_GB2312" w:hAnsi="微软雅黑" w:eastAsia="仿宋_GB2312" w:cs="微软雅黑"/>
          <w:color w:val="auto"/>
          <w:sz w:val="32"/>
          <w:szCs w:val="32"/>
          <w:lang w:val="en-US" w:eastAsia="zh-CN"/>
        </w:rPr>
        <w:t>5</w:t>
      </w:r>
      <w:r>
        <w:rPr>
          <w:rFonts w:hint="eastAsia" w:ascii="仿宋_GB2312" w:hAnsi="微软雅黑" w:eastAsia="仿宋_GB2312" w:cs="微软雅黑"/>
          <w:color w:val="auto"/>
          <w:sz w:val="32"/>
          <w:szCs w:val="32"/>
        </w:rPr>
        <w:t>年</w:t>
      </w:r>
      <w:r>
        <w:rPr>
          <w:rFonts w:hint="eastAsia" w:ascii="仿宋_GB2312" w:hAnsi="微软雅黑" w:eastAsia="仿宋_GB2312" w:cs="微软雅黑"/>
          <w:color w:val="auto"/>
          <w:sz w:val="32"/>
          <w:szCs w:val="32"/>
          <w:lang w:val="en-US" w:eastAsia="zh-CN"/>
        </w:rPr>
        <w:t>9</w:t>
      </w:r>
      <w:r>
        <w:rPr>
          <w:rFonts w:hint="eastAsia" w:ascii="仿宋_GB2312" w:hAnsi="微软雅黑" w:eastAsia="仿宋_GB2312" w:cs="微软雅黑"/>
          <w:color w:val="auto"/>
          <w:sz w:val="32"/>
          <w:szCs w:val="32"/>
        </w:rPr>
        <w:t>月</w:t>
      </w:r>
      <w:r>
        <w:rPr>
          <w:rFonts w:hint="eastAsia" w:ascii="仿宋_GB2312" w:hAnsi="微软雅黑" w:eastAsia="仿宋_GB2312" w:cs="微软雅黑"/>
          <w:color w:val="auto"/>
          <w:sz w:val="32"/>
          <w:szCs w:val="32"/>
          <w:lang w:val="en-US" w:eastAsia="zh-CN"/>
        </w:rPr>
        <w:t>6</w:t>
      </w:r>
      <w:r>
        <w:rPr>
          <w:rFonts w:hint="eastAsia" w:ascii="仿宋_GB2312" w:hAnsi="微软雅黑" w:eastAsia="仿宋_GB2312" w:cs="微软雅黑"/>
          <w:color w:val="auto"/>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5DB0C0"/>
    <w:multiLevelType w:val="singleLevel"/>
    <w:tmpl w:val="F55DB0C0"/>
    <w:lvl w:ilvl="0" w:tentative="0">
      <w:start w:val="1"/>
      <w:numFmt w:val="chineseCounting"/>
      <w:suff w:val="nothing"/>
      <w:lvlText w:val="（%1）"/>
      <w:lvlJc w:val="left"/>
      <w:rPr>
        <w:rFonts w:hint="eastAsia"/>
      </w:rPr>
    </w:lvl>
  </w:abstractNum>
  <w:abstractNum w:abstractNumId="1">
    <w:nsid w:val="7DBC84F9"/>
    <w:multiLevelType w:val="singleLevel"/>
    <w:tmpl w:val="7DBC84F9"/>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D05A6"/>
    <w:rsid w:val="000209AD"/>
    <w:rsid w:val="00061161"/>
    <w:rsid w:val="001820C3"/>
    <w:rsid w:val="00285D9B"/>
    <w:rsid w:val="002E2519"/>
    <w:rsid w:val="00333E8B"/>
    <w:rsid w:val="00595D3C"/>
    <w:rsid w:val="005E4748"/>
    <w:rsid w:val="006304F5"/>
    <w:rsid w:val="006D05A6"/>
    <w:rsid w:val="007C39C5"/>
    <w:rsid w:val="00967043"/>
    <w:rsid w:val="0098445F"/>
    <w:rsid w:val="009F75C4"/>
    <w:rsid w:val="00A52CE2"/>
    <w:rsid w:val="00C47CE2"/>
    <w:rsid w:val="00C869F1"/>
    <w:rsid w:val="00CB46C9"/>
    <w:rsid w:val="00D54BB8"/>
    <w:rsid w:val="00F23DDA"/>
    <w:rsid w:val="00FC0D66"/>
    <w:rsid w:val="0DB1568E"/>
    <w:rsid w:val="390758C4"/>
    <w:rsid w:val="48580B3F"/>
    <w:rsid w:val="49B87AF0"/>
    <w:rsid w:val="648A5C71"/>
    <w:rsid w:val="66CD3C37"/>
    <w:rsid w:val="754821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szCs w:val="24"/>
    </w:rPr>
  </w:style>
  <w:style w:type="character" w:styleId="7">
    <w:name w:val="Strong"/>
    <w:basedOn w:val="6"/>
    <w:qFormat/>
    <w:uiPriority w:val="0"/>
    <w:rPr>
      <w:b/>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193</Words>
  <Characters>1103</Characters>
  <Lines>9</Lines>
  <Paragraphs>2</Paragraphs>
  <TotalTime>38</TotalTime>
  <ScaleCrop>false</ScaleCrop>
  <LinksUpToDate>false</LinksUpToDate>
  <CharactersWithSpaces>1294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2024-10-12T05:22:00Z</dcterms:created>
  <dc:creator>微软用户</dc:creator>
  <cp:lastModifiedBy>周为文</cp:lastModifiedBy>
  <cp:lastPrinted>2024-10-12T05:54:00Z</cp:lastPrinted>
  <dcterms:modified xsi:type="dcterms:W3CDTF">2025-09-08T06:36:59Z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0859D675EFCB4E488287DD23129DB4CF</vt:lpwstr>
  </property>
</Properties>
</file>