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南银理财珠联璧合悦稳（最低持有280天）公募人民币理财产品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南银理财珠联璧合悦稳（最低持有280天）公募人民币理财产品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Z7003222000028（投资者可依据该编码在中国理财网www.chinawealth.com.cn查询理财产品相关信息）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2022年04月27日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5,264,209,020.66份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中粮信托有限责任公司,华泰资产管理有限公司,太平资产管理有限公司,鑫元基金管理有限公司,陆家嘴国际信托有限公司,泰康资产管理有限责任公司,太平洋资产管理有限责任公司,江苏省国际信托有限责任公司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4,427,399,568.04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1.0741</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1,229,988,568.02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1.0765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2024年04月01日 - 2024年06月30日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2024年04月01日 - 2024年06月30日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截至报告期末，本产品A32005份额净值为1.0741元，A32006份额净值为1.0764元。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1,855,969,678.67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1,471,562,999.41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973,508,685.27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345,896,583.32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DQCKX202405100003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中国银行定期存款20240510C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100,150,675.00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太平洋稳健理财三号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99,970,137.37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ZJQTT202403110021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太平资产稳赢59号资管产品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75,540,093.42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70,138,847.98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DQCKX202405100002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中国银行定期存款20240510B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0120050000000806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南银理财悦稳最低持有280天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产品投资关联方作为管理人的资产管理产品交易金额47,000,000.00元。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产品支付关联方托管费239,399.21元，支付关联方代销费692,844.57元。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