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南银理财鼎瑞悦稳（最低持有14天）公募人民币理财产品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南银理财鼎瑞悦稳（最低持有14天）公募人民币理财产品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Z7003223000182（投资者可依据该编码在中国理财网www.chinawealth.com.cn查询理财产品相关信息）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8,565,408,463.45份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中粮信托有限责任公司,国投泰康信托有限公司,陆家嘴国际信托有限公司,江苏省国际信托有限责任公司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7,134,656,358.59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1.023682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1.023682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21,181,103.40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1.023735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1.023735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1,608,835,783.35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1.023304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1.023304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2,986,831.51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1.022627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1.022627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本产品为短期产品，坚持稳健配置的管理思路，精选中短久期信用债、银行存款、债券回购为主要配置资产，兼顾收益与流动性。往后看，本产品操作上将以中性策略应对，持续关注低波票息资产的配置价值，提升高流动性资产收益，控制市值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截至报告期末，本产品A32014份额净值为1.023725元，A32015份额净值为1.023778元，A32016份额净值为1.023344元，A32028份额净值为1.022656元。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97.82%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84.93%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2.18%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3,018,339,142.14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857,600,616.16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XJCKX202403250001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农业银行安庆分行活期存款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620,583,638.88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601,343,439.12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352,397,541.72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290,724,873.59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241,213,548.12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DQCKX202405100003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中国银行定期存款20240510C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252254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23临开Y1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XJCKX202406180021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浦发银行南京分行活期存款（约期）20240618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0101080000000712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南京银行南京分行南银理财鼎瑞悦稳最低持有14天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产品与关联方作为交易对手开展的投融资业务交易金额149,940,000.00元。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产品支付关联方托管费487,785.09元，支付关联方代销费3,125,193.77元。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