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南银理财鼎瑞悦稳（最低持有7天）2号公募人民币理财产品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南银理财鼎瑞悦稳（最低持有7天）2号公募人民币理财产品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4,011,607,416.42份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中粮信托有限责任公司,国投泰康信托有限公司,陆家嘴国际信托有限公司,建信保险资产管理有限公司,泰康资产管理有限责任公司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2,840,202,638.83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1.014067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1.014067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1,014,312.56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1.014312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1.014312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173,679,255.86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1.013530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1.013530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909,092,081.62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1.013137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1.013137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98,947,365.95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1.012708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1.012708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44,033,330.20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1.013770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1.013770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本产品为短期产品，坚持稳健配置的管理思路，精选中短久期信用债、银行存款、债券回购为主要配置资产，兼顾收益与流动性。往后看，本产品操作上将以中性策略应对，持续关注低波票息资产的配置价值，提升高流动性资产收益，控制市值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截至报告期末，本产品A32017份额净值为1.014094元，A32018份额净值为1.014345元，A32019份额净值为1.013555元，A32024份额净值为1.013156元，A32025份额净值为1.012721元，A32026份额净值为1.013794元。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99.76%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0.24%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868,407,502.17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850,515,175.04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509,647,981.95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390,536,348.27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388,358,365.40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泰康资产纯泰33号资产管理产品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202,525,988.53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ZJQTT202403040021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建信保险资管安盈添利1号集合资产管理计划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151,219,342.14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254195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24浔开01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112303179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23农业银行CD179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146,723,400.00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115,048,443.43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0101030000000861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产品与关联方作为交易对手开展的投融资业务交易金额369,900,000.00元。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产品支付关联方托管费243,874.34元，支付关联方代销费717,413.50元。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