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4,105,243,849.11份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1,866,383,922.31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1.006655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1.006655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445,045,904.53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1.006435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1.006435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701,206,519.45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1,118,772,132.06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1.006050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1.006050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本产品为短期产品，坚持稳健配置的管理思路，精选中短久期信用债、银行存款、债券回购为主要配置资产，兼顾收益与流动性。往后看，本产品操作上将以中性策略应对，持续关注低波票息资产的配置价值，提升高流动性资产收益，控制市值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截至报告期末，本产品A32020份额净值为1.006683元，A32021份额净值为1.006455元，A32022份额净值为1.006107元，A32023份额净值为1.006063元。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1,719,199,832.62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951,193,528.94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农业银行安庆分行活期存款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480,708,388.88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412,772,785.77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215,843,167.91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112308261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23中信银行CD261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195,445,600.00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100,370,709.01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DQCKX202406170003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中国银行定期存款20240617B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112303181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23农业银行CD181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97,834,500.00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30,015,835.98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产品与关联方作为交易对手开展的投融资业务交易金额219,960,000.00元。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产品支付关联方托管费21,383.70元，支付关联方代销费0.00元。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