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南银理财珠联璧合日日聚鑫现金管理类公募人民币理财产品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南银理财珠联璧合日日聚鑫现金管理类公募人民币理财产品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2019年09月11日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9,411,703,268.45份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中粮信托有限责任公司,中诚信托有限责任公司,华润深国投信托有限公司,光大永明资产管理股份有限公司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8,114,279,775.60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565,202,050.22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1,485,822.64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9,178,849.51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A25001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A26001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511,084,451.16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A27001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210,472,289.03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的状态，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债券收益率整体呈现缓慢下行趋势，4月初受政治局会议等影响收益率快速上行，随后在经济修复较慢和资金利率宽松的背景下收益率持续回落。</w:t>
        <w:br w:type="textWrapping" w:clear="all"/>
      </w:r>
      <w:r>
        <w:rPr>
          <w:rFonts w:hint="eastAsia" w:ascii="方正仿宋简体" w:eastAsia="方正仿宋简体"/>
          <w:sz w:val="24"/>
          <w:szCs w:val="24"/>
        </w:rPr>
        <w:t>  三季度扰动因素在于地方债发行提速和强刺激政策能否出台，但基本面、供需关系对债市仍构成支撑，货币政策预计能够维持宽松基调，债市调整风险可控，票息策略可能仍相对占优，可以关注震荡带来的投资机会。</w:t>
        <w:br w:type="textWrapping" w:clear="all"/>
      </w:r>
      <w:r>
        <w:rPr>
          <w:rFonts w:hint="eastAsia" w:ascii="方正仿宋简体" w:eastAsia="方正仿宋简体"/>
          <w:sz w:val="24"/>
          <w:szCs w:val="24"/>
        </w:rPr>
        <w:t>  操作方面，产品延续了稳健的投资风格，积极加大对存款、存单等高流动性资产的配置力度，不断优化资产结构。未来将继续在保证流动性安全、守住信用风险底线的基础上，强化资产获取能力，为客户提供稳定的收益回报，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  下阶段产品将继续保持稳健的投资风格，在风险可控的前提下灵活运用杠杆。同时关注市场各关键时点资金波动情况，做好流动性预判和资产到期分布安排，提前做好应对方案，防范流动性风险。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截至报告期末，本产品A20001份额净值为1.0000元，A21001份额净值为1.0000元，A23001份额净值为1.0000元，A24001份额净值为1.0000元，A25001份额净值为1.0000元，A26001份额净值为1.0000元，A27001份额净值为1.0000元。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802,123,085.83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ZJQTT202307240001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光大永明资产永聚固收243号固定收益类资产管理产品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564,074,541.90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XJCKX202308110001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浦发银行约期存款20230811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343,116,818.89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吉林银行长春分行定期存款20240221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XJCKX202308070001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兴业银行约期存款20230807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XJCKX202307110001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兴业银行约期存款20230711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230,558,238.62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XJCKX202307130001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兴业银行约期存款20230713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恒丰银行约期存款20240528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0120000000000328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南京银行日日聚鑫</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产品支付关联方托管费556,398.52元，支付关联方代销费4,142,424.56元。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